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方正小标宋简体" w:hAnsi="Times New Roman" w:eastAsia="方正小标宋简体" w:cs="Times New Roman"/>
          <w:sz w:val="44"/>
          <w:szCs w:val="44"/>
        </w:rPr>
      </w:pPr>
    </w:p>
    <w:p>
      <w:pPr>
        <w:ind w:firstLine="880" w:firstLineChars="200"/>
        <w:jc w:val="center"/>
        <w:rPr>
          <w:rFonts w:ascii="方正小标宋简体" w:hAnsi="Times New Roman" w:eastAsia="方正小标宋简体" w:cs="Times New Roman"/>
          <w:sz w:val="44"/>
          <w:szCs w:val="44"/>
        </w:rPr>
      </w:pPr>
      <w:r>
        <w:rPr>
          <w:rFonts w:hint="eastAsia" w:ascii="方正小标宋简体" w:hAnsi="Times New Roman" w:eastAsia="方正小标宋简体" w:cs="方正小标宋简体"/>
          <w:sz w:val="44"/>
          <w:szCs w:val="44"/>
        </w:rPr>
        <w:t>石家庄</w:t>
      </w:r>
      <w:r>
        <w:rPr>
          <w:rFonts w:hint="eastAsia" w:ascii="方正小标宋简体" w:hAnsi="Times New Roman" w:eastAsia="方正小标宋简体" w:cs="方正小标宋简体"/>
          <w:sz w:val="44"/>
          <w:szCs w:val="44"/>
          <w:lang w:eastAsia="zh-CN"/>
        </w:rPr>
        <w:t>市</w:t>
      </w:r>
      <w:r>
        <w:rPr>
          <w:rFonts w:hint="eastAsia" w:ascii="方正小标宋简体" w:hAnsi="Times New Roman" w:eastAsia="方正小标宋简体" w:cs="方正小标宋简体"/>
          <w:sz w:val="44"/>
          <w:szCs w:val="44"/>
        </w:rPr>
        <w:t>纪委</w:t>
      </w:r>
      <w:r>
        <w:rPr>
          <w:rFonts w:ascii="方正小标宋简体" w:hAnsi="Times New Roman" w:eastAsia="方正小标宋简体" w:cs="方正小标宋简体"/>
          <w:sz w:val="44"/>
          <w:szCs w:val="44"/>
        </w:rPr>
        <w:t>2019</w:t>
      </w:r>
      <w:r>
        <w:rPr>
          <w:rFonts w:hint="eastAsia" w:ascii="方正小标宋简体" w:hAnsi="Times New Roman" w:eastAsia="方正小标宋简体" w:cs="方正小标宋简体"/>
          <w:sz w:val="44"/>
          <w:szCs w:val="44"/>
        </w:rPr>
        <w:t>年预算信息公开</w:t>
      </w: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r>
        <w:rPr>
          <w:rFonts w:hint="eastAsia" w:ascii="仿宋" w:hAnsi="仿宋" w:eastAsia="仿宋" w:cs="仿宋"/>
          <w:sz w:val="32"/>
          <w:szCs w:val="32"/>
        </w:rPr>
        <w:t>按照《预算法》、《地方预决算公开操作规程》和《石家庄市级预算公开办法》规定，现将</w:t>
      </w:r>
      <w:r>
        <w:rPr>
          <w:rFonts w:ascii="仿宋" w:hAnsi="仿宋" w:eastAsia="仿宋" w:cs="仿宋"/>
          <w:sz w:val="32"/>
          <w:szCs w:val="32"/>
        </w:rPr>
        <w:t>2019</w:t>
      </w:r>
      <w:r>
        <w:rPr>
          <w:rFonts w:hint="eastAsia" w:ascii="仿宋" w:hAnsi="仿宋" w:eastAsia="仿宋" w:cs="仿宋"/>
          <w:sz w:val="32"/>
          <w:szCs w:val="32"/>
        </w:rPr>
        <w:t>年部门预算公开如下：</w:t>
      </w:r>
    </w:p>
    <w:p>
      <w:pPr>
        <w:ind w:firstLine="640"/>
        <w:rPr>
          <w:rFonts w:ascii="黑体" w:hAnsi="黑体" w:eastAsia="黑体" w:cs="Times New Roman"/>
          <w:sz w:val="32"/>
          <w:szCs w:val="32"/>
        </w:rPr>
      </w:pPr>
      <w:r>
        <w:rPr>
          <w:rFonts w:hint="eastAsia" w:ascii="黑体" w:hAnsi="黑体" w:eastAsia="黑体" w:cs="黑体"/>
          <w:sz w:val="32"/>
          <w:szCs w:val="32"/>
        </w:rPr>
        <w:t>一、部门职责及机构设置情况</w:t>
      </w:r>
    </w:p>
    <w:p>
      <w:pPr>
        <w:pStyle w:val="6"/>
        <w:widowControl/>
        <w:spacing w:line="27" w:lineRule="atLeast"/>
        <w:jc w:val="both"/>
        <w:rPr>
          <w:rFonts w:ascii="仿宋" w:hAnsi="仿宋" w:eastAsia="仿宋" w:cs="Times New Roman"/>
          <w:sz w:val="32"/>
          <w:szCs w:val="32"/>
        </w:rPr>
      </w:pPr>
      <w:r>
        <w:rPr>
          <w:rFonts w:hint="eastAsia" w:cs="宋体"/>
          <w:shd w:val="clear" w:color="auto" w:fill="FFFFFF"/>
        </w:rPr>
        <w:t>　</w:t>
      </w:r>
      <w:r>
        <w:rPr>
          <w:shd w:val="clear" w:color="auto" w:fill="FFFFFF"/>
        </w:rPr>
        <w:t xml:space="preserve">  </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主要职能</w:t>
      </w:r>
    </w:p>
    <w:p>
      <w:pPr>
        <w:spacing w:line="220" w:lineRule="atLeas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负责全市党的纪律检查工作。贯彻落实党中央和省委、市委关于纪律检查工作的决策部署，维护党的章程和其他党内法规，检查党的路线方针政策和决议的执行情况，协助市委推进全面从严治党、加强党风建设和组织协调反腐败工作。</w:t>
      </w:r>
    </w:p>
    <w:p>
      <w:pPr>
        <w:spacing w:line="220" w:lineRule="atLeas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依照党的章程和其他党内法规履行监督、执纪、问责职责。负责经常对党员进行遵守纪律的教育，作出关于维护党纪的决定；对市委工作机关、市委批准设立的党组（党委），各县（市、区）党委、纪委等党的组织和市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spacing w:line="220" w:lineRule="atLeas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（三）支持配合巡视、巡察工作。承担巡视、巡察整改日常监督责任，做好巡视、巡察整改督查督办工作，依规依纪依法处置巡视、巡察移交的反映领导干部问题线索。</w:t>
      </w:r>
    </w:p>
    <w:p>
      <w:pPr>
        <w:spacing w:line="220" w:lineRule="atLeas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（四）负责全市监察工作。贯彻落实党中央和省委、市委关于监察工作的决策部署，维护宪法法律，依法对市委管理的行使公权力的公职人员进行监察，调查职务违法和职务犯罪，开展廉政建设和反腐败工作。</w:t>
      </w:r>
    </w:p>
    <w:p>
      <w:pPr>
        <w:spacing w:line="220" w:lineRule="atLeas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五）依照法律规定履行监督、调查、处置职责。推动开展廉政教育，对市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spacing w:line="220" w:lineRule="atLeas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（六）负责组织协调全面从严治党、党风廉政建设和反腐败宣传教育工作。</w:t>
      </w:r>
    </w:p>
    <w:p>
      <w:pPr>
        <w:spacing w:line="220" w:lineRule="atLeas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（七）负责综合分析全面从严治党、党风廉政建设和反腐败工作情况，对纪检监察工作重要理论及实践问题进行调查研究；制定或者修改全市纪检监察法规制度，参与起草有关法规和规范性文件。</w:t>
      </w:r>
    </w:p>
    <w:p>
      <w:pPr>
        <w:spacing w:line="220" w:lineRule="atLeas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（八）负责组织协调全市反腐败追逃追赃和防逃工作，督促有关单位做好相关工作。</w:t>
      </w:r>
    </w:p>
    <w:p>
      <w:pPr>
        <w:spacing w:line="220" w:lineRule="atLeas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九）根据干部管理权限，负责全市纪检监察系统领导班子建设、干部队伍建设和组织建设的综合规划、政策研究、制度建设和业务指导；会同市委组织部负责市委巡察办的县级干部提名、考察，报市委任免；根据干部管理权限负责市委巡察办科级及以下干部人事工作。会同有关方面做好市纪委监委派驻机构、县级纪检监察机关、市管企业和市属高校纪检监察机构领导班子建设有关工作；组织和指导全市纪检监察系统干部教育培训工作等。</w:t>
      </w:r>
    </w:p>
    <w:p>
      <w:pPr>
        <w:spacing w:line="220" w:lineRule="atLeas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（十）完成省纪委监委、市委交办的其他任务。</w:t>
      </w:r>
    </w:p>
    <w:p>
      <w:pPr>
        <w:pStyle w:val="6"/>
        <w:widowControl/>
        <w:spacing w:line="27" w:lineRule="atLeast"/>
        <w:jc w:val="both"/>
        <w:rPr>
          <w:rFonts w:ascii="仿宋" w:hAnsi="仿宋" w:eastAsia="仿宋" w:cs="Times New Roman"/>
          <w:sz w:val="32"/>
          <w:szCs w:val="32"/>
        </w:rPr>
      </w:pPr>
      <w:r>
        <w:rPr>
          <w:rFonts w:hint="eastAsia" w:cs="宋体"/>
          <w:shd w:val="clear" w:color="auto" w:fill="FFFFFF"/>
        </w:rPr>
        <w:t>　　</w:t>
      </w:r>
    </w:p>
    <w:p>
      <w:pPr>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pPr>
        <w:ind w:firstLine="640"/>
        <w:rPr>
          <w:rFonts w:ascii="仿宋" w:hAnsi="仿宋" w:eastAsia="仿宋" w:cs="Times New Roman"/>
          <w:sz w:val="32"/>
          <w:szCs w:val="32"/>
        </w:rPr>
      </w:pPr>
      <w:r>
        <w:rPr>
          <w:rFonts w:hint="eastAsia" w:ascii="仿宋" w:hAnsi="仿宋" w:eastAsia="仿宋" w:cs="仿宋"/>
          <w:sz w:val="32"/>
          <w:szCs w:val="32"/>
        </w:rPr>
        <w:t>按照预算管理有关规定，目前我市部门预算的编制实行综合预算制度，即全部收入和支出都反映的预算中。</w:t>
      </w:r>
    </w:p>
    <w:p>
      <w:pPr>
        <w:ind w:firstLine="64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、收入说明</w:t>
      </w:r>
    </w:p>
    <w:p>
      <w:pPr>
        <w:ind w:firstLine="640"/>
        <w:rPr>
          <w:rFonts w:ascii="仿宋" w:hAnsi="仿宋" w:eastAsia="仿宋" w:cs="Times New Roman"/>
          <w:sz w:val="32"/>
          <w:szCs w:val="32"/>
        </w:rPr>
      </w:pPr>
      <w:r>
        <w:rPr>
          <w:rFonts w:hint="eastAsia" w:ascii="仿宋" w:hAnsi="仿宋" w:eastAsia="仿宋" w:cs="仿宋"/>
          <w:sz w:val="32"/>
          <w:szCs w:val="32"/>
          <w:shd w:val="clear" w:color="auto" w:fill="FFFFFF"/>
        </w:rPr>
        <w:t>按照综合预算的原则，石家庄市纪委监察局所有收入和支出均纳入部门预算管理。收入均为财政拨款收入，石家庄纪委监察局</w:t>
      </w:r>
      <w:r>
        <w:rPr>
          <w:rFonts w:ascii="仿宋" w:hAnsi="仿宋" w:eastAsia="仿宋" w:cs="仿宋"/>
          <w:sz w:val="32"/>
          <w:szCs w:val="32"/>
          <w:shd w:val="clear" w:color="auto" w:fill="FFFFFF"/>
        </w:rPr>
        <w:t>2019</w:t>
      </w:r>
      <w:r>
        <w:rPr>
          <w:rFonts w:hint="eastAsia" w:ascii="仿宋" w:hAnsi="仿宋" w:eastAsia="仿宋" w:cs="仿宋"/>
          <w:sz w:val="32"/>
          <w:szCs w:val="32"/>
          <w:shd w:val="clear" w:color="auto" w:fill="FFFFFF"/>
        </w:rPr>
        <w:t>年收入总预算</w:t>
      </w:r>
      <w:r>
        <w:rPr>
          <w:rFonts w:ascii="仿宋" w:hAnsi="仿宋" w:eastAsia="仿宋" w:cs="仿宋"/>
          <w:sz w:val="32"/>
          <w:szCs w:val="32"/>
          <w:shd w:val="clear" w:color="auto" w:fill="FFFFFF"/>
        </w:rPr>
        <w:t>12272.80</w:t>
      </w:r>
      <w:r>
        <w:rPr>
          <w:rFonts w:hint="eastAsia" w:ascii="仿宋" w:hAnsi="仿宋" w:eastAsia="仿宋" w:cs="仿宋"/>
          <w:sz w:val="32"/>
          <w:szCs w:val="32"/>
          <w:shd w:val="clear" w:color="auto" w:fill="FFFFFF"/>
        </w:rPr>
        <w:t>万元。</w:t>
      </w:r>
    </w:p>
    <w:p>
      <w:pPr>
        <w:ind w:firstLine="64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、支出说明</w:t>
      </w:r>
    </w:p>
    <w:p>
      <w:pPr>
        <w:ind w:firstLine="640"/>
        <w:rPr>
          <w:rFonts w:ascii="仿宋" w:hAnsi="仿宋" w:eastAsia="仿宋" w:cs="Times New Roman"/>
          <w:sz w:val="32"/>
          <w:szCs w:val="32"/>
        </w:rPr>
      </w:pPr>
      <w:r>
        <w:rPr>
          <w:rFonts w:hint="eastAsia" w:ascii="仿宋" w:hAnsi="仿宋" w:eastAsia="仿宋" w:cs="仿宋"/>
          <w:sz w:val="32"/>
          <w:szCs w:val="32"/>
          <w:shd w:val="clear" w:color="auto" w:fill="FFFFFF"/>
        </w:rPr>
        <w:t>按照综合预算的原则，石家庄市纪委监察局所有支出均纳入部门预算管理。支出均为财政拨款支出，石家庄纪委监察局</w:t>
      </w:r>
      <w:r>
        <w:rPr>
          <w:rFonts w:ascii="仿宋" w:hAnsi="仿宋" w:eastAsia="仿宋" w:cs="仿宋"/>
          <w:sz w:val="32"/>
          <w:szCs w:val="32"/>
          <w:shd w:val="clear" w:color="auto" w:fill="FFFFFF"/>
        </w:rPr>
        <w:t>2019</w:t>
      </w:r>
      <w:r>
        <w:rPr>
          <w:rFonts w:hint="eastAsia" w:ascii="仿宋" w:hAnsi="仿宋" w:eastAsia="仿宋" w:cs="仿宋"/>
          <w:sz w:val="32"/>
          <w:szCs w:val="32"/>
          <w:shd w:val="clear" w:color="auto" w:fill="FFFFFF"/>
        </w:rPr>
        <w:t>年支出总预算</w:t>
      </w:r>
      <w:r>
        <w:rPr>
          <w:rFonts w:ascii="仿宋" w:hAnsi="仿宋" w:eastAsia="仿宋" w:cs="仿宋"/>
          <w:sz w:val="32"/>
          <w:szCs w:val="32"/>
          <w:shd w:val="clear" w:color="auto" w:fill="FFFFFF"/>
        </w:rPr>
        <w:t>12272.80</w:t>
      </w:r>
      <w:r>
        <w:rPr>
          <w:rFonts w:hint="eastAsia" w:ascii="仿宋" w:hAnsi="仿宋" w:eastAsia="仿宋" w:cs="仿宋"/>
          <w:sz w:val="32"/>
          <w:szCs w:val="32"/>
          <w:shd w:val="clear" w:color="auto" w:fill="FFFFFF"/>
        </w:rPr>
        <w:t>万元。</w:t>
      </w:r>
    </w:p>
    <w:p>
      <w:pPr>
        <w:ind w:firstLine="64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支出包括：一般公共服务支出、社会保障、住房保障支出等。石家庄市纪委监察局</w:t>
      </w:r>
      <w:r>
        <w:rPr>
          <w:rFonts w:ascii="仿宋" w:hAnsi="仿宋" w:eastAsia="仿宋" w:cs="仿宋"/>
          <w:sz w:val="32"/>
          <w:szCs w:val="32"/>
          <w:shd w:val="clear" w:color="auto" w:fill="FFFFFF"/>
        </w:rPr>
        <w:t>2019</w:t>
      </w:r>
      <w:r>
        <w:rPr>
          <w:rFonts w:hint="eastAsia" w:ascii="仿宋" w:hAnsi="仿宋" w:eastAsia="仿宋" w:cs="仿宋"/>
          <w:sz w:val="32"/>
          <w:szCs w:val="32"/>
          <w:shd w:val="clear" w:color="auto" w:fill="FFFFFF"/>
        </w:rPr>
        <w:t>年支出总预算</w:t>
      </w:r>
      <w:r>
        <w:rPr>
          <w:rFonts w:ascii="仿宋" w:hAnsi="仿宋" w:eastAsia="仿宋" w:cs="仿宋"/>
          <w:sz w:val="32"/>
          <w:szCs w:val="32"/>
          <w:shd w:val="clear" w:color="auto" w:fill="FFFFFF"/>
        </w:rPr>
        <w:t>12272.80</w:t>
      </w:r>
      <w:r>
        <w:rPr>
          <w:rFonts w:hint="eastAsia" w:ascii="仿宋" w:hAnsi="仿宋" w:eastAsia="仿宋" w:cs="仿宋"/>
          <w:sz w:val="32"/>
          <w:szCs w:val="32"/>
          <w:shd w:val="clear" w:color="auto" w:fill="FFFFFF"/>
        </w:rPr>
        <w:t>万元。</w:t>
      </w:r>
    </w:p>
    <w:p>
      <w:pPr>
        <w:spacing w:line="560" w:lineRule="exact"/>
        <w:ind w:firstLine="640" w:firstLineChars="200"/>
        <w:rPr>
          <w:rFonts w:ascii="仿宋" w:hAnsi="仿宋" w:eastAsia="仿宋" w:cs="仿宋"/>
          <w:bCs/>
          <w:sz w:val="32"/>
          <w:szCs w:val="32"/>
        </w:rPr>
      </w:pPr>
      <w:r>
        <w:rPr>
          <w:rFonts w:ascii="仿宋" w:hAnsi="仿宋" w:eastAsia="仿宋" w:cs="仿宋"/>
          <w:bCs/>
          <w:sz w:val="32"/>
          <w:szCs w:val="32"/>
        </w:rPr>
        <w:t>3.</w:t>
      </w:r>
      <w:r>
        <w:rPr>
          <w:rFonts w:hint="eastAsia" w:ascii="仿宋" w:hAnsi="仿宋" w:eastAsia="仿宋" w:cs="仿宋"/>
          <w:bCs/>
          <w:sz w:val="32"/>
          <w:szCs w:val="32"/>
        </w:rPr>
        <w:t>比上年增减情况</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sz w:val="32"/>
          <w:szCs w:val="32"/>
        </w:rPr>
        <w:t>与</w:t>
      </w:r>
      <w:r>
        <w:rPr>
          <w:rFonts w:ascii="仿宋_GB2312" w:hAnsi="仿宋" w:eastAsia="仿宋_GB2312"/>
          <w:sz w:val="32"/>
          <w:szCs w:val="32"/>
        </w:rPr>
        <w:t>2018</w:t>
      </w:r>
      <w:r>
        <w:rPr>
          <w:rFonts w:hint="eastAsia" w:ascii="仿宋_GB2312" w:hAnsi="仿宋" w:eastAsia="仿宋_GB2312"/>
          <w:sz w:val="32"/>
          <w:szCs w:val="32"/>
        </w:rPr>
        <w:t>年相比，</w:t>
      </w:r>
      <w:r>
        <w:rPr>
          <w:rFonts w:ascii="仿宋_GB2312" w:hAnsi="仿宋" w:eastAsia="仿宋_GB2312"/>
          <w:sz w:val="32"/>
          <w:szCs w:val="32"/>
        </w:rPr>
        <w:t>2019</w:t>
      </w:r>
      <w:r>
        <w:rPr>
          <w:rFonts w:hint="eastAsia" w:ascii="仿宋_GB2312" w:hAnsi="仿宋" w:eastAsia="仿宋_GB2312"/>
          <w:sz w:val="32"/>
          <w:szCs w:val="32"/>
        </w:rPr>
        <w:t>年我委收支总预算增加</w:t>
      </w:r>
      <w:r>
        <w:rPr>
          <w:rFonts w:ascii="仿宋_GB2312" w:hAnsi="仿宋" w:eastAsia="仿宋_GB2312"/>
          <w:sz w:val="32"/>
          <w:szCs w:val="32"/>
        </w:rPr>
        <w:t>2566.5</w:t>
      </w:r>
      <w:r>
        <w:rPr>
          <w:rFonts w:hint="eastAsia" w:ascii="仿宋_GB2312" w:hAnsi="仿宋" w:eastAsia="仿宋_GB2312"/>
          <w:sz w:val="32"/>
          <w:szCs w:val="32"/>
        </w:rPr>
        <w:t>万元，</w:t>
      </w:r>
      <w:r>
        <w:rPr>
          <w:rFonts w:hint="eastAsia" w:ascii="仿宋_GB2312" w:hAnsi="仿宋" w:eastAsia="仿宋_GB2312"/>
          <w:color w:val="auto"/>
          <w:sz w:val="32"/>
          <w:szCs w:val="32"/>
        </w:rPr>
        <w:t>其中：基本支出增加</w:t>
      </w:r>
      <w:r>
        <w:rPr>
          <w:rFonts w:hint="eastAsia" w:ascii="仿宋_GB2312" w:hAnsi="仿宋" w:eastAsia="仿宋_GB2312"/>
          <w:color w:val="auto"/>
          <w:sz w:val="32"/>
          <w:szCs w:val="32"/>
          <w:lang w:val="en-US" w:eastAsia="zh-CN"/>
        </w:rPr>
        <w:t>1602.5</w:t>
      </w:r>
      <w:r>
        <w:rPr>
          <w:rFonts w:hint="eastAsia" w:ascii="仿宋_GB2312" w:hAnsi="仿宋" w:eastAsia="仿宋_GB2312"/>
          <w:color w:val="auto"/>
          <w:sz w:val="32"/>
          <w:szCs w:val="32"/>
        </w:rPr>
        <w:t>万元，项目支出增加</w:t>
      </w:r>
      <w:r>
        <w:rPr>
          <w:rFonts w:hint="eastAsia" w:ascii="仿宋_GB2312" w:hAnsi="仿宋" w:eastAsia="仿宋_GB2312"/>
          <w:color w:val="auto"/>
          <w:sz w:val="32"/>
          <w:szCs w:val="32"/>
          <w:lang w:val="en-US" w:eastAsia="zh-CN"/>
        </w:rPr>
        <w:t>964</w:t>
      </w:r>
      <w:r>
        <w:rPr>
          <w:rFonts w:hint="eastAsia" w:ascii="仿宋_GB2312" w:hAnsi="仿宋" w:eastAsia="仿宋_GB2312"/>
          <w:color w:val="auto"/>
          <w:sz w:val="32"/>
          <w:szCs w:val="32"/>
        </w:rPr>
        <w:t>万元，由于国家监察体制改革</w:t>
      </w:r>
      <w:r>
        <w:rPr>
          <w:rFonts w:ascii="仿宋_GB2312" w:hAnsi="仿宋" w:eastAsia="仿宋_GB2312"/>
          <w:color w:val="auto"/>
          <w:sz w:val="32"/>
          <w:szCs w:val="32"/>
        </w:rPr>
        <w:t>,</w:t>
      </w:r>
      <w:bookmarkStart w:id="2" w:name="_GoBack"/>
      <w:bookmarkEnd w:id="2"/>
      <w:r>
        <w:rPr>
          <w:rFonts w:hint="eastAsia" w:ascii="仿宋_GB2312" w:hAnsi="仿宋" w:eastAsia="仿宋_GB2312"/>
          <w:color w:val="auto"/>
          <w:sz w:val="32"/>
          <w:szCs w:val="32"/>
        </w:rPr>
        <w:t>人员大幅增加。</w:t>
      </w:r>
    </w:p>
    <w:p>
      <w:pPr>
        <w:ind w:firstLine="640"/>
        <w:rPr>
          <w:rFonts w:ascii="仿宋" w:hAnsi="仿宋" w:eastAsia="仿宋" w:cs="仿宋"/>
          <w:color w:val="auto"/>
          <w:sz w:val="32"/>
          <w:szCs w:val="32"/>
          <w:shd w:val="clear" w:color="auto" w:fill="FFFFFF"/>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三、机关运行经费安排情况</w:t>
      </w:r>
    </w:p>
    <w:p>
      <w:pPr>
        <w:pStyle w:val="6"/>
        <w:widowControl/>
        <w:spacing w:line="27" w:lineRule="atLeast"/>
        <w:ind w:firstLine="640" w:firstLineChars="200"/>
        <w:jc w:val="both"/>
        <w:rPr>
          <w:rFonts w:ascii="仿宋" w:hAnsi="仿宋" w:eastAsia="仿宋" w:cs="Times New Roman"/>
          <w:sz w:val="32"/>
          <w:szCs w:val="32"/>
        </w:rPr>
      </w:pPr>
      <w:r>
        <w:rPr>
          <w:rFonts w:hint="eastAsia" w:ascii="仿宋" w:hAnsi="仿宋" w:eastAsia="仿宋" w:cs="仿宋"/>
          <w:sz w:val="32"/>
          <w:szCs w:val="32"/>
        </w:rPr>
        <w:t>日常公用经费共计安排</w:t>
      </w:r>
      <w:r>
        <w:rPr>
          <w:rFonts w:ascii="仿宋" w:hAnsi="仿宋" w:eastAsia="仿宋" w:cs="仿宋"/>
          <w:sz w:val="32"/>
          <w:szCs w:val="32"/>
          <w:shd w:val="clear" w:color="auto" w:fill="FFFFFF"/>
        </w:rPr>
        <w:t>857.01</w:t>
      </w:r>
      <w:r>
        <w:rPr>
          <w:rFonts w:hint="eastAsia" w:ascii="仿宋" w:hAnsi="仿宋" w:eastAsia="仿宋" w:cs="仿宋"/>
          <w:sz w:val="32"/>
          <w:szCs w:val="32"/>
          <w:shd w:val="clear" w:color="auto" w:fill="FFFFFF"/>
        </w:rPr>
        <w:t>万元，主要用于：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办公设备购置、专用设备购置。</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pStyle w:val="6"/>
        <w:widowControl/>
        <w:spacing w:line="27" w:lineRule="atLeast"/>
        <w:ind w:firstLine="480"/>
        <w:jc w:val="both"/>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石家庄市纪委监察局</w:t>
      </w:r>
      <w:r>
        <w:rPr>
          <w:rFonts w:ascii="仿宋" w:hAnsi="仿宋" w:eastAsia="仿宋" w:cs="仿宋"/>
          <w:sz w:val="32"/>
          <w:szCs w:val="32"/>
          <w:shd w:val="clear" w:color="auto" w:fill="FFFFFF"/>
        </w:rPr>
        <w:t>2019</w:t>
      </w:r>
      <w:r>
        <w:rPr>
          <w:rFonts w:hint="eastAsia" w:ascii="仿宋" w:hAnsi="仿宋" w:eastAsia="仿宋" w:cs="仿宋"/>
          <w:sz w:val="32"/>
          <w:szCs w:val="32"/>
          <w:shd w:val="clear" w:color="auto" w:fill="FFFFFF"/>
        </w:rPr>
        <w:t>年财政拨款“三公”经费预算数为</w:t>
      </w:r>
      <w:r>
        <w:rPr>
          <w:rFonts w:ascii="仿宋" w:hAnsi="仿宋" w:eastAsia="仿宋" w:cs="仿宋"/>
          <w:sz w:val="32"/>
          <w:szCs w:val="32"/>
          <w:shd w:val="clear" w:color="auto" w:fill="FFFFFF"/>
        </w:rPr>
        <w:t>164.46</w:t>
      </w:r>
      <w:r>
        <w:rPr>
          <w:rFonts w:hint="eastAsia" w:ascii="仿宋" w:hAnsi="仿宋" w:eastAsia="仿宋" w:cs="仿宋"/>
          <w:sz w:val="32"/>
          <w:szCs w:val="32"/>
          <w:shd w:val="clear" w:color="auto" w:fill="FFFFFF"/>
        </w:rPr>
        <w:t>万元。其中：因公出国（境）费</w:t>
      </w:r>
      <w:r>
        <w:rPr>
          <w:rFonts w:ascii="仿宋" w:hAnsi="仿宋" w:eastAsia="仿宋" w:cs="仿宋"/>
          <w:sz w:val="32"/>
          <w:szCs w:val="32"/>
          <w:shd w:val="clear" w:color="auto" w:fill="FFFFFF"/>
        </w:rPr>
        <w:t>0</w:t>
      </w:r>
      <w:r>
        <w:rPr>
          <w:rFonts w:hint="eastAsia" w:ascii="仿宋" w:hAnsi="仿宋" w:eastAsia="仿宋" w:cs="仿宋"/>
          <w:sz w:val="32"/>
          <w:szCs w:val="32"/>
          <w:shd w:val="clear" w:color="auto" w:fill="FFFFFF"/>
        </w:rPr>
        <w:t>元</w:t>
      </w:r>
      <w:r>
        <w:rPr>
          <w:rFonts w:ascii="仿宋" w:hAnsi="仿宋" w:eastAsia="仿宋" w:cs="仿宋"/>
          <w:sz w:val="32"/>
          <w:szCs w:val="32"/>
          <w:shd w:val="clear" w:color="auto" w:fill="FFFFFF"/>
        </w:rPr>
        <w:t>,</w:t>
      </w:r>
      <w:r>
        <w:rPr>
          <w:rFonts w:hint="eastAsia" w:ascii="仿宋" w:hAnsi="仿宋" w:eastAsia="仿宋" w:cs="仿宋"/>
          <w:sz w:val="32"/>
          <w:szCs w:val="32"/>
          <w:shd w:val="clear" w:color="auto" w:fill="FFFFFF"/>
        </w:rPr>
        <w:t>跟往年相比无变化；三公经费总额</w:t>
      </w:r>
      <w:r>
        <w:rPr>
          <w:rFonts w:ascii="仿宋" w:hAnsi="仿宋" w:eastAsia="仿宋" w:cs="仿宋"/>
          <w:sz w:val="32"/>
          <w:szCs w:val="32"/>
          <w:shd w:val="clear" w:color="auto" w:fill="FFFFFF"/>
        </w:rPr>
        <w:t>133.37</w:t>
      </w:r>
      <w:r>
        <w:rPr>
          <w:rFonts w:hint="eastAsia" w:ascii="仿宋" w:hAnsi="仿宋" w:eastAsia="仿宋" w:cs="仿宋"/>
          <w:sz w:val="32"/>
          <w:szCs w:val="32"/>
          <w:shd w:val="clear" w:color="auto" w:fill="FFFFFF"/>
        </w:rPr>
        <w:t>万元</w:t>
      </w:r>
      <w:r>
        <w:rPr>
          <w:rFonts w:ascii="仿宋" w:hAnsi="仿宋" w:eastAsia="仿宋" w:cs="仿宋"/>
          <w:sz w:val="32"/>
          <w:szCs w:val="32"/>
          <w:shd w:val="clear" w:color="auto" w:fill="FFFFFF"/>
        </w:rPr>
        <w:t>,</w:t>
      </w:r>
      <w:r>
        <w:rPr>
          <w:rFonts w:hint="eastAsia" w:ascii="仿宋" w:hAnsi="仿宋" w:eastAsia="仿宋" w:cs="仿宋"/>
          <w:sz w:val="32"/>
          <w:szCs w:val="32"/>
          <w:shd w:val="clear" w:color="auto" w:fill="FFFFFF"/>
        </w:rPr>
        <w:t>购置及公务用车运行维护费运行费</w:t>
      </w:r>
      <w:r>
        <w:rPr>
          <w:rFonts w:ascii="仿宋" w:hAnsi="仿宋" w:eastAsia="仿宋" w:cs="仿宋"/>
          <w:sz w:val="32"/>
          <w:szCs w:val="32"/>
          <w:shd w:val="clear" w:color="auto" w:fill="FFFFFF"/>
        </w:rPr>
        <w:t>129.60</w:t>
      </w:r>
      <w:r>
        <w:rPr>
          <w:rFonts w:hint="eastAsia" w:ascii="仿宋" w:hAnsi="仿宋" w:eastAsia="仿宋" w:cs="仿宋"/>
          <w:sz w:val="32"/>
          <w:szCs w:val="32"/>
          <w:shd w:val="clear" w:color="auto" w:fill="FFFFFF"/>
        </w:rPr>
        <w:t>万元，跟上年相比增加</w:t>
      </w:r>
      <w:r>
        <w:rPr>
          <w:rFonts w:ascii="仿宋" w:hAnsi="仿宋" w:eastAsia="仿宋" w:cs="仿宋"/>
          <w:sz w:val="32"/>
          <w:szCs w:val="32"/>
          <w:shd w:val="clear" w:color="auto" w:fill="FFFFFF"/>
        </w:rPr>
        <w:t>24.25</w:t>
      </w:r>
      <w:r>
        <w:rPr>
          <w:rFonts w:hint="eastAsia" w:ascii="仿宋" w:hAnsi="仿宋" w:eastAsia="仿宋" w:cs="仿宋"/>
          <w:sz w:val="32"/>
          <w:szCs w:val="32"/>
          <w:shd w:val="clear" w:color="auto" w:fill="FFFFFF"/>
        </w:rPr>
        <w:t>万元；公务接待费</w:t>
      </w:r>
      <w:r>
        <w:rPr>
          <w:rFonts w:ascii="仿宋" w:hAnsi="仿宋" w:eastAsia="仿宋" w:cs="仿宋"/>
          <w:sz w:val="32"/>
          <w:szCs w:val="32"/>
          <w:shd w:val="clear" w:color="auto" w:fill="FFFFFF"/>
        </w:rPr>
        <w:t>3.77</w:t>
      </w:r>
      <w:r>
        <w:rPr>
          <w:rFonts w:hint="eastAsia" w:ascii="仿宋" w:hAnsi="仿宋" w:eastAsia="仿宋" w:cs="仿宋"/>
          <w:sz w:val="32"/>
          <w:szCs w:val="32"/>
          <w:shd w:val="clear" w:color="auto" w:fill="FFFFFF"/>
        </w:rPr>
        <w:t>万元。</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五、绩效预算信息</w:t>
      </w:r>
    </w:p>
    <w:p>
      <w:pPr>
        <w:autoSpaceDE w:val="0"/>
        <w:autoSpaceDN w:val="0"/>
        <w:adjustRightInd w:val="0"/>
        <w:ind w:left="200" w:firstLine="645"/>
        <w:jc w:val="left"/>
        <w:rPr>
          <w:rFonts w:ascii="仿宋" w:hAnsi="仿宋" w:eastAsia="仿宋" w:cs="Times New Roman"/>
          <w:kern w:val="0"/>
          <w:sz w:val="32"/>
          <w:szCs w:val="32"/>
          <w:lang w:val="zh-CN"/>
        </w:rPr>
      </w:pPr>
      <w:r>
        <w:rPr>
          <w:rFonts w:hint="eastAsia" w:ascii="仿宋" w:hAnsi="仿宋" w:eastAsia="仿宋" w:cs="仿宋"/>
          <w:kern w:val="0"/>
          <w:sz w:val="32"/>
          <w:szCs w:val="32"/>
          <w:lang w:val="zh-CN"/>
        </w:rPr>
        <w:t>绩效总体目标</w:t>
      </w:r>
    </w:p>
    <w:p>
      <w:pPr>
        <w:spacing w:line="600" w:lineRule="exact"/>
        <w:ind w:firstLine="720" w:firstLineChars="200"/>
        <w:rPr>
          <w:rFonts w:ascii="仿宋_GB2312" w:hAnsi="仿宋_GB2312" w:eastAsia="仿宋_GB2312"/>
          <w:sz w:val="36"/>
          <w:szCs w:val="36"/>
        </w:rPr>
      </w:pPr>
      <w:r>
        <w:rPr>
          <w:rFonts w:ascii="仿宋_GB2312" w:hAnsi="仿宋_GB2312" w:eastAsia="仿宋_GB2312"/>
          <w:sz w:val="36"/>
          <w:szCs w:val="36"/>
        </w:rPr>
        <w:t>2019</w:t>
      </w:r>
      <w:r>
        <w:rPr>
          <w:rFonts w:hint="eastAsia" w:ascii="仿宋_GB2312" w:hAnsi="仿宋_GB2312" w:eastAsia="仿宋_GB2312"/>
          <w:sz w:val="36"/>
          <w:szCs w:val="36"/>
        </w:rPr>
        <w:t>年是中华人民共和国成立</w:t>
      </w:r>
      <w:r>
        <w:rPr>
          <w:rFonts w:ascii="仿宋_GB2312" w:hAnsi="仿宋_GB2312" w:eastAsia="仿宋_GB2312"/>
          <w:sz w:val="36"/>
          <w:szCs w:val="36"/>
        </w:rPr>
        <w:t>70</w:t>
      </w:r>
      <w:r>
        <w:rPr>
          <w:rFonts w:hint="eastAsia" w:ascii="仿宋_GB2312" w:hAnsi="仿宋_GB2312" w:eastAsia="仿宋_GB2312"/>
          <w:sz w:val="36"/>
          <w:szCs w:val="36"/>
        </w:rPr>
        <w:t>周年，是全面建成小康社会的关键一年。要以习近平新时代中国特色社会主义思想为指导，深入学习贯彻党的十九大和十九届二中、三中全会精神，不忘初心、牢记使命，强化“四个意识”，坚定“四个自信”，坚决维护习近平总书记核心地位、坚决维护党中央权威和集中统一领导，坚持稳中求进工作总基调，发扬改革创新精神，忠实履行党章和宪法赋予的职责，以党的政治建设为统领，协助党委全面从严治党，一体推进不敢腐、不能腐、不想腐，巩固反腐败斗争压倒性胜利，实现依规治党和依法治国有机统一，健全党和国家监督体系，依规依纪依法履行职责，打造忠诚干净担当的纪检监察铁军，为党的十九大精神和党中央重大决策部署落实到位，建设现代省会经济强市提供坚强保障。</w:t>
      </w:r>
    </w:p>
    <w:p>
      <w:pPr>
        <w:autoSpaceDE w:val="0"/>
        <w:autoSpaceDN w:val="0"/>
        <w:adjustRightInd w:val="0"/>
        <w:ind w:left="200" w:firstLine="645"/>
        <w:jc w:val="left"/>
        <w:rPr>
          <w:rFonts w:ascii="仿宋" w:hAnsi="仿宋" w:eastAsia="仿宋" w:cs="Times New Roman"/>
          <w:kern w:val="0"/>
          <w:sz w:val="32"/>
          <w:szCs w:val="32"/>
          <w:lang w:val="zh-CN"/>
        </w:rPr>
      </w:pPr>
      <w:r>
        <w:rPr>
          <w:rFonts w:hint="eastAsia" w:ascii="仿宋" w:hAnsi="仿宋" w:eastAsia="仿宋" w:cs="仿宋"/>
          <w:kern w:val="0"/>
          <w:sz w:val="32"/>
          <w:szCs w:val="32"/>
          <w:lang w:val="zh-CN"/>
        </w:rPr>
        <w:t>职责分类绩效目标</w:t>
      </w:r>
    </w:p>
    <w:p>
      <w:pPr>
        <w:autoSpaceDE w:val="0"/>
        <w:autoSpaceDN w:val="0"/>
        <w:adjustRightInd w:val="0"/>
        <w:ind w:left="200" w:firstLine="645"/>
        <w:jc w:val="left"/>
        <w:rPr>
          <w:rFonts w:ascii="仿宋" w:hAnsi="仿宋" w:eastAsia="仿宋" w:cs="仿宋"/>
          <w:kern w:val="0"/>
          <w:sz w:val="32"/>
          <w:szCs w:val="32"/>
          <w:lang w:val="zh-CN"/>
        </w:rPr>
      </w:pPr>
      <w:bookmarkStart w:id="0" w:name="_Toc475969592"/>
      <w:r>
        <w:rPr>
          <w:rFonts w:hint="eastAsia" w:ascii="仿宋" w:hAnsi="仿宋" w:eastAsia="仿宋" w:cs="仿宋"/>
          <w:kern w:val="0"/>
          <w:sz w:val="32"/>
          <w:szCs w:val="32"/>
          <w:lang w:val="zh-CN"/>
        </w:rPr>
        <w:t>（一）严明党的纪律，确保政令畅通。</w:t>
      </w:r>
    </w:p>
    <w:p>
      <w:pPr>
        <w:autoSpaceDE w:val="0"/>
        <w:autoSpaceDN w:val="0"/>
        <w:adjustRightInd w:val="0"/>
        <w:ind w:left="200" w:firstLine="645"/>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（二）强化党内监督，维护全市良好政治生态。</w:t>
      </w:r>
    </w:p>
    <w:p>
      <w:pPr>
        <w:autoSpaceDE w:val="0"/>
        <w:autoSpaceDN w:val="0"/>
        <w:adjustRightInd w:val="0"/>
        <w:ind w:left="200" w:firstLine="645"/>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（三）查纠“四风”突出问题，鼓励干部担当作为。</w:t>
      </w:r>
    </w:p>
    <w:p>
      <w:pPr>
        <w:autoSpaceDE w:val="0"/>
        <w:autoSpaceDN w:val="0"/>
        <w:adjustRightInd w:val="0"/>
        <w:ind w:left="200" w:firstLine="645"/>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（四）保持惩治腐败高压态势，提高群众获得感。</w:t>
      </w:r>
    </w:p>
    <w:p>
      <w:pPr>
        <w:autoSpaceDE w:val="0"/>
        <w:autoSpaceDN w:val="0"/>
        <w:adjustRightInd w:val="0"/>
        <w:ind w:left="200" w:firstLine="645"/>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（五）深化纪检监察体制改革，建设监督执纪铁军。</w:t>
      </w:r>
    </w:p>
    <w:p>
      <w:pPr>
        <w:jc w:val="center"/>
        <w:outlineLvl w:val="0"/>
        <w:rPr>
          <w:rFonts w:ascii="方正小标宋_GBK" w:eastAsia="方正小标宋_GBK"/>
          <w:sz w:val="32"/>
        </w:rPr>
      </w:pPr>
    </w:p>
    <w:p>
      <w:pPr>
        <w:jc w:val="center"/>
        <w:outlineLvl w:val="0"/>
        <w:rPr>
          <w:rFonts w:ascii="方正小标宋_GBK" w:eastAsia="方正小标宋_GBK"/>
          <w:sz w:val="32"/>
        </w:rPr>
      </w:pPr>
    </w:p>
    <w:p>
      <w:pPr>
        <w:jc w:val="center"/>
        <w:outlineLvl w:val="0"/>
        <w:rPr>
          <w:rFonts w:ascii="方正小标宋_GBK" w:eastAsia="方正小标宋_GBK"/>
          <w:sz w:val="32"/>
        </w:rPr>
      </w:pPr>
    </w:p>
    <w:p>
      <w:pPr>
        <w:jc w:val="center"/>
        <w:outlineLvl w:val="0"/>
        <w:rPr>
          <w:rFonts w:ascii="方正小标宋_GBK" w:eastAsia="方正小标宋_GBK"/>
          <w:sz w:val="32"/>
        </w:rPr>
      </w:pPr>
    </w:p>
    <w:p>
      <w:pPr>
        <w:jc w:val="center"/>
        <w:outlineLvl w:val="0"/>
        <w:rPr>
          <w:rFonts w:ascii="方正小标宋_GBK" w:eastAsia="方正小标宋_GBK"/>
          <w:sz w:val="32"/>
        </w:rPr>
      </w:pPr>
    </w:p>
    <w:p>
      <w:pPr>
        <w:jc w:val="center"/>
        <w:outlineLvl w:val="0"/>
        <w:rPr>
          <w:rFonts w:ascii="方正小标宋_GBK" w:eastAsia="方正小标宋_GBK"/>
          <w:sz w:val="32"/>
        </w:rPr>
      </w:pPr>
    </w:p>
    <w:bookmarkEnd w:id="0"/>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六、部门职责</w:t>
      </w:r>
    </w:p>
    <w:p>
      <w:pPr>
        <w:rPr>
          <w:rFonts w:ascii="方正小标宋_GBK" w:eastAsia="方正小标宋_GBK"/>
          <w:sz w:val="32"/>
        </w:rPr>
      </w:pPr>
    </w:p>
    <w:p>
      <w:pPr>
        <w:rPr>
          <w:rFonts w:ascii="方正小标宋_GBK" w:eastAsia="方正小标宋_GBK"/>
          <w:sz w:val="32"/>
        </w:rPr>
      </w:pPr>
      <w:r>
        <w:rPr>
          <w:rFonts w:hint="eastAsia" w:ascii="方正小标宋_GBK" w:eastAsia="方正小标宋_GBK"/>
          <w:sz w:val="32"/>
        </w:rPr>
        <w:t>部门职责</w:t>
      </w:r>
      <w:r>
        <w:rPr>
          <w:rFonts w:ascii="方正小标宋_GBK" w:eastAsia="方正小标宋_GBK"/>
          <w:sz w:val="32"/>
        </w:rPr>
        <w:t>-</w:t>
      </w:r>
      <w:r>
        <w:rPr>
          <w:rFonts w:hint="eastAsia" w:ascii="方正小标宋_GBK" w:eastAsia="方正小标宋_GBK"/>
          <w:sz w:val="32"/>
        </w:rPr>
        <w:t>工作活动绩效目标</w:t>
      </w:r>
    </w:p>
    <w:tbl>
      <w:tblPr>
        <w:tblStyle w:val="7"/>
        <w:tblW w:w="12920" w:type="dxa"/>
        <w:jc w:val="center"/>
        <w:tblInd w:w="-30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
      <w:tblGrid>
        <w:gridCol w:w="2360"/>
        <w:gridCol w:w="915"/>
        <w:gridCol w:w="3794"/>
        <w:gridCol w:w="1396"/>
        <w:gridCol w:w="1116"/>
        <w:gridCol w:w="656"/>
        <w:gridCol w:w="679"/>
        <w:gridCol w:w="605"/>
        <w:gridCol w:w="13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227" w:hRule="atLeast"/>
          <w:tblHeader/>
          <w:jc w:val="center"/>
        </w:trPr>
        <w:tc>
          <w:tcPr>
            <w:tcW w:w="9581"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222</w:t>
            </w:r>
            <w:r>
              <w:rPr>
                <w:rFonts w:hint="eastAsia" w:ascii="方正小标宋_GBK" w:eastAsia="方正小标宋_GBK"/>
                <w:sz w:val="24"/>
              </w:rPr>
              <w:t>石家庄市纪律检查委员会</w:t>
            </w:r>
          </w:p>
        </w:tc>
        <w:tc>
          <w:tcPr>
            <w:tcW w:w="3339" w:type="dxa"/>
            <w:gridSpan w:val="4"/>
            <w:tcBorders>
              <w:top w:val="single" w:color="FFFFFF" w:sz="6" w:space="0"/>
              <w:left w:val="single" w:color="FFFFFF" w:sz="6" w:space="0"/>
              <w:right w:val="single" w:color="FFFFFF" w:sz="6" w:space="0"/>
            </w:tcBorders>
            <w:vAlign w:val="center"/>
          </w:tcPr>
          <w:p>
            <w:pPr>
              <w:spacing w:line="300" w:lineRule="exact"/>
              <w:jc w:val="right"/>
              <w:rPr>
                <w:rFonts w:ascii="????_GBK" w:eastAsia="Times New Roman"/>
                <w:sz w:val="24"/>
              </w:rPr>
            </w:pPr>
            <w:r>
              <w:rPr>
                <w:rFonts w:ascii="????_GBK" w:eastAsia="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227" w:hRule="atLeast"/>
          <w:tblHeader/>
          <w:jc w:val="center"/>
        </w:trPr>
        <w:tc>
          <w:tcPr>
            <w:tcW w:w="2360" w:type="dxa"/>
            <w:vMerge w:val="restart"/>
            <w:vAlign w:val="center"/>
          </w:tcPr>
          <w:p>
            <w:pPr>
              <w:spacing w:line="300" w:lineRule="exact"/>
              <w:jc w:val="center"/>
              <w:rPr>
                <w:rFonts w:ascii="????_GBK" w:eastAsia="Times New Roman"/>
                <w:b/>
              </w:rPr>
            </w:pPr>
            <w:r>
              <w:rPr>
                <w:rFonts w:ascii="????_GBK" w:eastAsia="Times New Roman"/>
                <w:b/>
              </w:rPr>
              <w:t>职责活动</w:t>
            </w:r>
          </w:p>
        </w:tc>
        <w:tc>
          <w:tcPr>
            <w:tcW w:w="915" w:type="dxa"/>
            <w:vMerge w:val="restart"/>
            <w:vAlign w:val="center"/>
          </w:tcPr>
          <w:p>
            <w:pPr>
              <w:spacing w:line="300" w:lineRule="exact"/>
              <w:jc w:val="center"/>
              <w:rPr>
                <w:rFonts w:ascii="????_GBK" w:eastAsia="Times New Roman"/>
                <w:b/>
              </w:rPr>
            </w:pPr>
            <w:r>
              <w:rPr>
                <w:rFonts w:ascii="????_GBK" w:eastAsia="Times New Roman"/>
                <w:b/>
              </w:rPr>
              <w:t>年度</w:t>
            </w:r>
          </w:p>
          <w:p>
            <w:pPr>
              <w:spacing w:line="300" w:lineRule="exact"/>
              <w:jc w:val="center"/>
              <w:rPr>
                <w:rFonts w:ascii="????_GBK" w:eastAsia="Times New Roman"/>
                <w:b/>
              </w:rPr>
            </w:pPr>
            <w:r>
              <w:rPr>
                <w:rFonts w:ascii="????_GBK" w:eastAsia="Times New Roman"/>
                <w:b/>
              </w:rPr>
              <w:t>预算数</w:t>
            </w:r>
          </w:p>
        </w:tc>
        <w:tc>
          <w:tcPr>
            <w:tcW w:w="3794" w:type="dxa"/>
            <w:vMerge w:val="restart"/>
            <w:vAlign w:val="center"/>
          </w:tcPr>
          <w:p>
            <w:pPr>
              <w:spacing w:line="300" w:lineRule="exact"/>
              <w:jc w:val="center"/>
              <w:rPr>
                <w:rFonts w:ascii="????_GBK" w:eastAsia="Times New Roman"/>
                <w:b/>
              </w:rPr>
            </w:pPr>
            <w:r>
              <w:rPr>
                <w:rFonts w:ascii="????_GBK" w:eastAsia="Times New Roman"/>
                <w:b/>
              </w:rPr>
              <w:t>内容描述</w:t>
            </w:r>
          </w:p>
        </w:tc>
        <w:tc>
          <w:tcPr>
            <w:tcW w:w="1396" w:type="dxa"/>
            <w:vMerge w:val="restart"/>
            <w:vAlign w:val="center"/>
          </w:tcPr>
          <w:p>
            <w:pPr>
              <w:spacing w:line="300" w:lineRule="exact"/>
              <w:jc w:val="center"/>
              <w:rPr>
                <w:rFonts w:ascii="????_GBK" w:eastAsia="Times New Roman"/>
                <w:b/>
              </w:rPr>
            </w:pPr>
            <w:r>
              <w:rPr>
                <w:rFonts w:ascii="????_GBK" w:eastAsia="Times New Roman"/>
                <w:b/>
              </w:rPr>
              <w:t>绩效目标</w:t>
            </w:r>
          </w:p>
        </w:tc>
        <w:tc>
          <w:tcPr>
            <w:tcW w:w="1116" w:type="dxa"/>
            <w:vMerge w:val="restart"/>
            <w:vAlign w:val="center"/>
          </w:tcPr>
          <w:p>
            <w:pPr>
              <w:spacing w:line="300" w:lineRule="exact"/>
              <w:jc w:val="center"/>
              <w:rPr>
                <w:rFonts w:ascii="????_GBK" w:eastAsia="Times New Roman"/>
                <w:b/>
              </w:rPr>
            </w:pPr>
            <w:r>
              <w:rPr>
                <w:rFonts w:ascii="????_GBK" w:eastAsia="Times New Roman"/>
                <w:b/>
              </w:rPr>
              <w:t>绩效指标</w:t>
            </w:r>
          </w:p>
        </w:tc>
        <w:tc>
          <w:tcPr>
            <w:tcW w:w="3339" w:type="dxa"/>
            <w:gridSpan w:val="4"/>
            <w:vAlign w:val="center"/>
          </w:tcPr>
          <w:p>
            <w:pPr>
              <w:spacing w:line="300" w:lineRule="exact"/>
              <w:jc w:val="center"/>
              <w:rPr>
                <w:rFonts w:ascii="????_GBK" w:eastAsia="Times New Roman"/>
                <w:b/>
              </w:rPr>
            </w:pPr>
            <w:r>
              <w:rPr>
                <w:rFonts w:ascii="????_GBK" w:eastAsia="Times New Roman"/>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227" w:hRule="atLeast"/>
          <w:tblHeader/>
          <w:jc w:val="center"/>
        </w:trPr>
        <w:tc>
          <w:tcPr>
            <w:tcW w:w="2360" w:type="dxa"/>
            <w:vMerge w:val="continue"/>
            <w:vAlign w:val="center"/>
          </w:tcPr>
          <w:p>
            <w:pPr>
              <w:spacing w:line="300" w:lineRule="exact"/>
              <w:jc w:val="left"/>
              <w:outlineLvl w:val="0"/>
            </w:pPr>
          </w:p>
        </w:tc>
        <w:tc>
          <w:tcPr>
            <w:tcW w:w="915" w:type="dxa"/>
            <w:vMerge w:val="continue"/>
            <w:vAlign w:val="center"/>
          </w:tcPr>
          <w:p>
            <w:pPr>
              <w:spacing w:line="300" w:lineRule="exact"/>
              <w:jc w:val="left"/>
              <w:outlineLvl w:val="0"/>
            </w:pPr>
          </w:p>
        </w:tc>
        <w:tc>
          <w:tcPr>
            <w:tcW w:w="3794" w:type="dxa"/>
            <w:vMerge w:val="continue"/>
            <w:vAlign w:val="center"/>
          </w:tcPr>
          <w:p>
            <w:pPr>
              <w:spacing w:line="300" w:lineRule="exact"/>
              <w:jc w:val="left"/>
              <w:outlineLvl w:val="0"/>
            </w:pPr>
          </w:p>
        </w:tc>
        <w:tc>
          <w:tcPr>
            <w:tcW w:w="1396" w:type="dxa"/>
            <w:vMerge w:val="continue"/>
            <w:vAlign w:val="center"/>
          </w:tcPr>
          <w:p>
            <w:pPr>
              <w:spacing w:line="300" w:lineRule="exact"/>
              <w:jc w:val="left"/>
              <w:outlineLvl w:val="0"/>
            </w:pPr>
          </w:p>
        </w:tc>
        <w:tc>
          <w:tcPr>
            <w:tcW w:w="1116" w:type="dxa"/>
            <w:vMerge w:val="continue"/>
            <w:vAlign w:val="center"/>
          </w:tcPr>
          <w:p>
            <w:pPr>
              <w:spacing w:line="300" w:lineRule="exact"/>
              <w:jc w:val="left"/>
              <w:outlineLvl w:val="0"/>
            </w:pPr>
          </w:p>
        </w:tc>
        <w:tc>
          <w:tcPr>
            <w:tcW w:w="656" w:type="dxa"/>
            <w:vAlign w:val="center"/>
          </w:tcPr>
          <w:p>
            <w:pPr>
              <w:spacing w:line="300" w:lineRule="exact"/>
              <w:jc w:val="center"/>
              <w:rPr>
                <w:rFonts w:ascii="????_GBK" w:eastAsia="Times New Roman"/>
                <w:b/>
              </w:rPr>
            </w:pPr>
            <w:r>
              <w:rPr>
                <w:rFonts w:ascii="????_GBK" w:eastAsia="Times New Roman"/>
                <w:b/>
              </w:rPr>
              <w:t>优</w:t>
            </w:r>
          </w:p>
        </w:tc>
        <w:tc>
          <w:tcPr>
            <w:tcW w:w="679" w:type="dxa"/>
            <w:vAlign w:val="center"/>
          </w:tcPr>
          <w:p>
            <w:pPr>
              <w:spacing w:line="300" w:lineRule="exact"/>
              <w:jc w:val="center"/>
              <w:rPr>
                <w:rFonts w:ascii="????_GBK" w:eastAsia="Times New Roman"/>
                <w:b/>
              </w:rPr>
            </w:pPr>
            <w:r>
              <w:rPr>
                <w:rFonts w:ascii="????_GBK" w:eastAsia="Times New Roman"/>
                <w:b/>
              </w:rPr>
              <w:t>良</w:t>
            </w:r>
          </w:p>
        </w:tc>
        <w:tc>
          <w:tcPr>
            <w:tcW w:w="605" w:type="dxa"/>
            <w:vAlign w:val="center"/>
          </w:tcPr>
          <w:p>
            <w:pPr>
              <w:spacing w:line="300" w:lineRule="exact"/>
              <w:jc w:val="center"/>
              <w:rPr>
                <w:rFonts w:ascii="????_GBK" w:eastAsia="Times New Roman"/>
                <w:b/>
              </w:rPr>
            </w:pPr>
            <w:r>
              <w:rPr>
                <w:rFonts w:ascii="????_GBK" w:eastAsia="Times New Roman"/>
                <w:b/>
              </w:rPr>
              <w:t>中</w:t>
            </w:r>
          </w:p>
        </w:tc>
        <w:tc>
          <w:tcPr>
            <w:tcW w:w="1399" w:type="dxa"/>
            <w:vAlign w:val="center"/>
          </w:tcPr>
          <w:p>
            <w:pPr>
              <w:spacing w:line="300" w:lineRule="exact"/>
              <w:jc w:val="center"/>
              <w:rPr>
                <w:rFonts w:ascii="????_GBK" w:eastAsia="Times New Roman"/>
                <w:b/>
              </w:rPr>
            </w:pPr>
            <w:r>
              <w:rPr>
                <w:rFonts w:ascii="????_GBK" w:eastAsia="Times New Roman"/>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2819" w:hRule="atLeast"/>
          <w:jc w:val="center"/>
        </w:trPr>
        <w:tc>
          <w:tcPr>
            <w:tcW w:w="2360" w:type="dxa"/>
            <w:vAlign w:val="center"/>
          </w:tcPr>
          <w:p>
            <w:pPr>
              <w:spacing w:line="300" w:lineRule="exact"/>
              <w:jc w:val="left"/>
              <w:rPr>
                <w:rFonts w:ascii="????_GBK" w:eastAsia="Times New Roman"/>
                <w:b/>
              </w:rPr>
            </w:pPr>
            <w:r>
              <w:rPr>
                <w:rFonts w:ascii="????_GBK" w:eastAsia="Times New Roman"/>
                <w:b/>
              </w:rPr>
              <w:t>一、办案问责、案件查办</w:t>
            </w:r>
          </w:p>
        </w:tc>
        <w:tc>
          <w:tcPr>
            <w:tcW w:w="915" w:type="dxa"/>
            <w:vAlign w:val="center"/>
          </w:tcPr>
          <w:p>
            <w:pPr>
              <w:spacing w:line="300" w:lineRule="exact"/>
              <w:jc w:val="left"/>
              <w:rPr>
                <w:rFonts w:ascii="????_GBK" w:eastAsia="Times New Roman"/>
              </w:rPr>
            </w:pPr>
            <w:r>
              <w:rPr>
                <w:rFonts w:ascii="????_GBK" w:eastAsia="Times New Roman"/>
              </w:rPr>
              <w:t>4271.00</w:t>
            </w:r>
          </w:p>
        </w:tc>
        <w:tc>
          <w:tcPr>
            <w:tcW w:w="3794" w:type="dxa"/>
            <w:vAlign w:val="center"/>
          </w:tcPr>
          <w:p>
            <w:pPr>
              <w:spacing w:line="300" w:lineRule="exact"/>
              <w:jc w:val="left"/>
              <w:rPr>
                <w:rFonts w:ascii="????_GBK" w:eastAsia="Times New Roman"/>
              </w:rPr>
            </w:pPr>
            <w:r>
              <w:rPr>
                <w:rFonts w:ascii="????_GBK" w:eastAsia="Times New Roman"/>
              </w:rPr>
              <w:t>承办联系地区、单位市管干部的违纪违法案件和其他比较重要和复杂案件的初核、审查并提出处理建议，承办联系单位应由委（局）机关参与调查事故、事件中涉及的监督对象违纪违法行为和需要问责情形的调查并提出处理建议，按照查办腐败案件以上级纪委领导为主的要求，监督、指导联系地区、单位案件查处工作</w:t>
            </w:r>
          </w:p>
        </w:tc>
        <w:tc>
          <w:tcPr>
            <w:tcW w:w="1396" w:type="dxa"/>
            <w:vAlign w:val="center"/>
          </w:tcPr>
          <w:p>
            <w:pPr>
              <w:spacing w:line="280" w:lineRule="exact"/>
              <w:jc w:val="left"/>
              <w:rPr>
                <w:rFonts w:ascii="????_GBK" w:eastAsia="Times New Roman"/>
              </w:rPr>
            </w:pPr>
            <w:r>
              <w:rPr>
                <w:rFonts w:ascii="????_GBK" w:eastAsia="Times New Roman"/>
              </w:rPr>
              <w:t>维护党纪国法尊严，坚决惩处腐败分子，有效遏制腐败现象。</w:t>
            </w:r>
          </w:p>
          <w:p>
            <w:pPr>
              <w:spacing w:line="280" w:lineRule="exact"/>
              <w:jc w:val="left"/>
              <w:rPr>
                <w:rFonts w:ascii="????_GBK" w:eastAsia="Times New Roman"/>
              </w:rPr>
            </w:pPr>
          </w:p>
        </w:tc>
        <w:tc>
          <w:tcPr>
            <w:tcW w:w="1116" w:type="dxa"/>
            <w:vAlign w:val="center"/>
          </w:tcPr>
          <w:p>
            <w:pPr>
              <w:spacing w:line="300" w:lineRule="exact"/>
              <w:jc w:val="left"/>
              <w:rPr>
                <w:rFonts w:ascii="????_GBK" w:eastAsia="Times New Roman"/>
              </w:rPr>
            </w:pPr>
          </w:p>
        </w:tc>
        <w:tc>
          <w:tcPr>
            <w:tcW w:w="656" w:type="dxa"/>
            <w:vAlign w:val="center"/>
          </w:tcPr>
          <w:p>
            <w:pPr>
              <w:spacing w:line="300" w:lineRule="exact"/>
              <w:jc w:val="center"/>
              <w:rPr>
                <w:rFonts w:ascii="????_GBK" w:eastAsia="Times New Roman"/>
              </w:rPr>
            </w:pPr>
          </w:p>
        </w:tc>
        <w:tc>
          <w:tcPr>
            <w:tcW w:w="679" w:type="dxa"/>
            <w:vAlign w:val="center"/>
          </w:tcPr>
          <w:p>
            <w:pPr>
              <w:spacing w:line="300" w:lineRule="exact"/>
              <w:jc w:val="center"/>
              <w:rPr>
                <w:rFonts w:ascii="????_GBK" w:eastAsia="Times New Roman"/>
              </w:rPr>
            </w:pPr>
          </w:p>
        </w:tc>
        <w:tc>
          <w:tcPr>
            <w:tcW w:w="605" w:type="dxa"/>
            <w:vAlign w:val="center"/>
          </w:tcPr>
          <w:p>
            <w:pPr>
              <w:spacing w:line="300" w:lineRule="exact"/>
              <w:jc w:val="center"/>
              <w:rPr>
                <w:rFonts w:ascii="????_GBK" w:eastAsia="Times New Roman"/>
              </w:rPr>
            </w:pPr>
          </w:p>
        </w:tc>
        <w:tc>
          <w:tcPr>
            <w:tcW w:w="1399" w:type="dxa"/>
            <w:vAlign w:val="center"/>
          </w:tcPr>
          <w:p>
            <w:pPr>
              <w:spacing w:line="300" w:lineRule="exact"/>
              <w:jc w:val="center"/>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1150" w:hRule="atLeast"/>
          <w:jc w:val="center"/>
        </w:trPr>
        <w:tc>
          <w:tcPr>
            <w:tcW w:w="2360" w:type="dxa"/>
            <w:vAlign w:val="center"/>
          </w:tcPr>
          <w:p>
            <w:pPr>
              <w:spacing w:line="300" w:lineRule="exact"/>
              <w:jc w:val="left"/>
              <w:rPr>
                <w:rFonts w:ascii="????_GBK" w:eastAsia="Times New Roman"/>
                <w:b/>
              </w:rPr>
            </w:pPr>
            <w:r>
              <w:rPr>
                <w:rFonts w:ascii="????_GBK" w:eastAsia="Times New Roman"/>
                <w:b/>
              </w:rPr>
              <w:t>1、案件查办</w:t>
            </w:r>
          </w:p>
        </w:tc>
        <w:tc>
          <w:tcPr>
            <w:tcW w:w="915" w:type="dxa"/>
            <w:vAlign w:val="center"/>
          </w:tcPr>
          <w:p>
            <w:pPr>
              <w:spacing w:line="300" w:lineRule="exact"/>
              <w:jc w:val="left"/>
              <w:rPr>
                <w:rFonts w:ascii="????_GBK" w:eastAsia="Times New Roman"/>
              </w:rPr>
            </w:pPr>
            <w:r>
              <w:rPr>
                <w:rFonts w:ascii="????_GBK" w:eastAsia="Times New Roman"/>
              </w:rPr>
              <w:t>2811.00</w:t>
            </w:r>
          </w:p>
        </w:tc>
        <w:tc>
          <w:tcPr>
            <w:tcW w:w="3794" w:type="dxa"/>
            <w:vAlign w:val="center"/>
          </w:tcPr>
          <w:p>
            <w:pPr>
              <w:spacing w:line="300" w:lineRule="exact"/>
              <w:jc w:val="left"/>
              <w:rPr>
                <w:rFonts w:ascii="????_GBK" w:eastAsia="Times New Roman"/>
              </w:rPr>
            </w:pPr>
            <w:r>
              <w:rPr>
                <w:rFonts w:ascii="????_GBK" w:eastAsia="Times New Roman"/>
              </w:rPr>
              <w:t>受理信访、举报，集中管理问题线索。</w:t>
            </w:r>
          </w:p>
        </w:tc>
        <w:tc>
          <w:tcPr>
            <w:tcW w:w="1396" w:type="dxa"/>
            <w:vAlign w:val="center"/>
          </w:tcPr>
          <w:p>
            <w:pPr>
              <w:spacing w:line="280" w:lineRule="exact"/>
              <w:jc w:val="left"/>
              <w:rPr>
                <w:rFonts w:ascii="????_GBK" w:eastAsia="Times New Roman"/>
              </w:rPr>
            </w:pPr>
            <w:r>
              <w:rPr>
                <w:rFonts w:ascii="????_GBK" w:eastAsia="Times New Roman"/>
              </w:rPr>
              <w:t>线索管理规范有序、处置合理，为案件查办奠定基础。</w:t>
            </w:r>
          </w:p>
        </w:tc>
        <w:tc>
          <w:tcPr>
            <w:tcW w:w="1116" w:type="dxa"/>
            <w:vAlign w:val="center"/>
          </w:tcPr>
          <w:p>
            <w:pPr>
              <w:spacing w:line="300" w:lineRule="exact"/>
              <w:jc w:val="left"/>
              <w:rPr>
                <w:rFonts w:ascii="????_GBK" w:eastAsia="Times New Roman"/>
              </w:rPr>
            </w:pPr>
            <w:r>
              <w:rPr>
                <w:rFonts w:ascii="????_GBK" w:eastAsia="Times New Roman"/>
              </w:rPr>
              <w:t>线索收集成功率</w:t>
            </w:r>
          </w:p>
        </w:tc>
        <w:tc>
          <w:tcPr>
            <w:tcW w:w="656" w:type="dxa"/>
            <w:vAlign w:val="center"/>
          </w:tcPr>
          <w:p>
            <w:pPr>
              <w:spacing w:line="300" w:lineRule="exact"/>
              <w:jc w:val="center"/>
              <w:rPr>
                <w:rFonts w:ascii="????_GBK" w:eastAsia="Times New Roman"/>
              </w:rPr>
            </w:pPr>
            <w:r>
              <w:rPr>
                <w:rFonts w:ascii="????_GBK" w:eastAsia="Times New Roman"/>
              </w:rPr>
              <w:t>90%以上</w:t>
            </w:r>
          </w:p>
        </w:tc>
        <w:tc>
          <w:tcPr>
            <w:tcW w:w="679" w:type="dxa"/>
            <w:vAlign w:val="center"/>
          </w:tcPr>
          <w:p>
            <w:pPr>
              <w:spacing w:line="300" w:lineRule="exact"/>
              <w:jc w:val="center"/>
              <w:rPr>
                <w:rFonts w:ascii="????_GBK" w:eastAsia="Times New Roman"/>
              </w:rPr>
            </w:pPr>
            <w:r>
              <w:rPr>
                <w:rFonts w:ascii="????_GBK" w:eastAsia="Times New Roman"/>
              </w:rPr>
              <w:t>80%以上</w:t>
            </w:r>
          </w:p>
          <w:p>
            <w:pPr>
              <w:spacing w:line="300" w:lineRule="exact"/>
              <w:jc w:val="center"/>
              <w:rPr>
                <w:rFonts w:ascii="????_GBK" w:eastAsia="Times New Roman"/>
              </w:rPr>
            </w:pPr>
          </w:p>
        </w:tc>
        <w:tc>
          <w:tcPr>
            <w:tcW w:w="605" w:type="dxa"/>
            <w:vAlign w:val="center"/>
          </w:tcPr>
          <w:p>
            <w:pPr>
              <w:spacing w:line="300" w:lineRule="exact"/>
              <w:jc w:val="center"/>
              <w:rPr>
                <w:rFonts w:ascii="????_GBK" w:eastAsia="Times New Roman"/>
              </w:rPr>
            </w:pPr>
            <w:r>
              <w:rPr>
                <w:rFonts w:ascii="????_GBK" w:eastAsia="Times New Roman"/>
              </w:rPr>
              <w:t>70%以上</w:t>
            </w:r>
          </w:p>
          <w:p>
            <w:pPr>
              <w:spacing w:line="300" w:lineRule="exact"/>
              <w:jc w:val="center"/>
              <w:rPr>
                <w:rFonts w:ascii="????_GBK" w:eastAsia="Times New Roman"/>
              </w:rPr>
            </w:pPr>
          </w:p>
        </w:tc>
        <w:tc>
          <w:tcPr>
            <w:tcW w:w="1399" w:type="dxa"/>
            <w:vAlign w:val="center"/>
          </w:tcPr>
          <w:p>
            <w:pPr>
              <w:spacing w:line="300" w:lineRule="exact"/>
              <w:jc w:val="center"/>
              <w:rPr>
                <w:rFonts w:ascii="????_GBK" w:eastAsia="Times New Roman"/>
              </w:rPr>
            </w:pPr>
            <w:r>
              <w:rPr>
                <w:rFonts w:ascii="????_GBK" w:eastAsia="Times New Roman"/>
              </w:rPr>
              <w:t>70%以下</w:t>
            </w:r>
          </w:p>
          <w:p>
            <w:pPr>
              <w:spacing w:line="300" w:lineRule="exact"/>
              <w:jc w:val="center"/>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1150" w:hRule="atLeast"/>
          <w:jc w:val="center"/>
        </w:trPr>
        <w:tc>
          <w:tcPr>
            <w:tcW w:w="2360" w:type="dxa"/>
            <w:vAlign w:val="center"/>
          </w:tcPr>
          <w:p>
            <w:pPr>
              <w:spacing w:line="300" w:lineRule="exact"/>
              <w:jc w:val="left"/>
              <w:rPr>
                <w:rFonts w:ascii="????_GBK" w:eastAsia="Times New Roman"/>
                <w:b/>
              </w:rPr>
            </w:pPr>
            <w:r>
              <w:rPr>
                <w:rFonts w:ascii="????_GBK" w:eastAsia="Times New Roman"/>
                <w:b/>
              </w:rPr>
              <w:t>2、案件查办</w:t>
            </w:r>
          </w:p>
        </w:tc>
        <w:tc>
          <w:tcPr>
            <w:tcW w:w="915" w:type="dxa"/>
            <w:vAlign w:val="center"/>
          </w:tcPr>
          <w:p>
            <w:pPr>
              <w:spacing w:line="300" w:lineRule="exact"/>
              <w:jc w:val="left"/>
              <w:rPr>
                <w:rFonts w:ascii="????_GBK" w:eastAsia="Times New Roman"/>
              </w:rPr>
            </w:pPr>
            <w:r>
              <w:rPr>
                <w:rFonts w:ascii="????_GBK" w:eastAsia="Times New Roman"/>
              </w:rPr>
              <w:t>1460.00</w:t>
            </w:r>
          </w:p>
        </w:tc>
        <w:tc>
          <w:tcPr>
            <w:tcW w:w="3794" w:type="dxa"/>
            <w:vAlign w:val="center"/>
          </w:tcPr>
          <w:p>
            <w:pPr>
              <w:spacing w:line="300" w:lineRule="exact"/>
              <w:jc w:val="left"/>
              <w:rPr>
                <w:rFonts w:ascii="????_GBK" w:eastAsia="Times New Roman"/>
              </w:rPr>
            </w:pPr>
            <w:r>
              <w:rPr>
                <w:rFonts w:ascii="????_GBK" w:eastAsia="Times New Roman"/>
              </w:rPr>
              <w:t>对有关对象违反党纪政纪和违纪违法行为进行调查处理。组织协调案件查办工作。</w:t>
            </w:r>
          </w:p>
        </w:tc>
        <w:tc>
          <w:tcPr>
            <w:tcW w:w="1396" w:type="dxa"/>
            <w:vAlign w:val="center"/>
          </w:tcPr>
          <w:p>
            <w:pPr>
              <w:spacing w:line="280" w:lineRule="exact"/>
              <w:jc w:val="left"/>
              <w:rPr>
                <w:rFonts w:ascii="????_GBK" w:eastAsia="Times New Roman"/>
              </w:rPr>
            </w:pPr>
            <w:r>
              <w:rPr>
                <w:rFonts w:ascii="????_GBK" w:eastAsia="Times New Roman"/>
              </w:rPr>
              <w:t>严肃查处各项违纪违法案件，坚决维护党纪国法尊严。</w:t>
            </w:r>
          </w:p>
        </w:tc>
        <w:tc>
          <w:tcPr>
            <w:tcW w:w="1116" w:type="dxa"/>
            <w:vAlign w:val="center"/>
          </w:tcPr>
          <w:p>
            <w:pPr>
              <w:spacing w:line="300" w:lineRule="exact"/>
              <w:jc w:val="left"/>
              <w:rPr>
                <w:rFonts w:ascii="????_GBK" w:eastAsia="Times New Roman"/>
              </w:rPr>
            </w:pPr>
            <w:r>
              <w:rPr>
                <w:rFonts w:ascii="????_GBK" w:eastAsia="Times New Roman"/>
              </w:rPr>
              <w:t>查办案件成效率</w:t>
            </w:r>
          </w:p>
        </w:tc>
        <w:tc>
          <w:tcPr>
            <w:tcW w:w="656" w:type="dxa"/>
            <w:vAlign w:val="center"/>
          </w:tcPr>
          <w:p>
            <w:pPr>
              <w:spacing w:line="300" w:lineRule="exact"/>
              <w:jc w:val="center"/>
              <w:rPr>
                <w:rFonts w:ascii="????_GBK" w:eastAsia="Times New Roman"/>
              </w:rPr>
            </w:pPr>
            <w:r>
              <w:rPr>
                <w:rFonts w:ascii="????_GBK" w:eastAsia="Times New Roman"/>
              </w:rPr>
              <w:t>90%以上</w:t>
            </w:r>
          </w:p>
        </w:tc>
        <w:tc>
          <w:tcPr>
            <w:tcW w:w="679" w:type="dxa"/>
            <w:vAlign w:val="center"/>
          </w:tcPr>
          <w:p>
            <w:pPr>
              <w:spacing w:line="300" w:lineRule="exact"/>
              <w:jc w:val="center"/>
              <w:rPr>
                <w:rFonts w:ascii="????_GBK" w:eastAsia="Times New Roman"/>
              </w:rPr>
            </w:pPr>
            <w:r>
              <w:rPr>
                <w:rFonts w:ascii="????_GBK" w:eastAsia="Times New Roman"/>
              </w:rPr>
              <w:t>80%以上</w:t>
            </w:r>
          </w:p>
          <w:p>
            <w:pPr>
              <w:spacing w:line="300" w:lineRule="exact"/>
              <w:jc w:val="center"/>
              <w:rPr>
                <w:rFonts w:ascii="????_GBK" w:eastAsia="Times New Roman"/>
              </w:rPr>
            </w:pPr>
          </w:p>
        </w:tc>
        <w:tc>
          <w:tcPr>
            <w:tcW w:w="605" w:type="dxa"/>
            <w:vAlign w:val="center"/>
          </w:tcPr>
          <w:p>
            <w:pPr>
              <w:spacing w:line="300" w:lineRule="exact"/>
              <w:jc w:val="center"/>
              <w:rPr>
                <w:rFonts w:ascii="????_GBK" w:eastAsia="Times New Roman"/>
              </w:rPr>
            </w:pPr>
            <w:r>
              <w:rPr>
                <w:rFonts w:ascii="????_GBK" w:eastAsia="Times New Roman"/>
              </w:rPr>
              <w:t>70%以上</w:t>
            </w:r>
          </w:p>
          <w:p>
            <w:pPr>
              <w:spacing w:line="300" w:lineRule="exact"/>
              <w:jc w:val="center"/>
              <w:rPr>
                <w:rFonts w:ascii="????_GBK" w:eastAsia="Times New Roman"/>
              </w:rPr>
            </w:pPr>
          </w:p>
        </w:tc>
        <w:tc>
          <w:tcPr>
            <w:tcW w:w="1399" w:type="dxa"/>
            <w:vAlign w:val="center"/>
          </w:tcPr>
          <w:p>
            <w:pPr>
              <w:spacing w:line="300" w:lineRule="exact"/>
              <w:jc w:val="center"/>
              <w:rPr>
                <w:rFonts w:ascii="????_GBK" w:eastAsia="Times New Roman"/>
              </w:rPr>
            </w:pPr>
            <w:r>
              <w:rPr>
                <w:rFonts w:ascii="????_GBK" w:eastAsia="Times New Roman"/>
              </w:rPr>
              <w:t>70%以下</w:t>
            </w:r>
          </w:p>
          <w:p>
            <w:pPr>
              <w:spacing w:line="300" w:lineRule="exact"/>
              <w:jc w:val="center"/>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227" w:hRule="atLeast"/>
          <w:jc w:val="center"/>
        </w:trPr>
        <w:tc>
          <w:tcPr>
            <w:tcW w:w="2360" w:type="dxa"/>
            <w:vAlign w:val="center"/>
          </w:tcPr>
          <w:p>
            <w:pPr>
              <w:spacing w:line="300" w:lineRule="exact"/>
              <w:jc w:val="left"/>
              <w:rPr>
                <w:rFonts w:ascii="????_GBK" w:eastAsia="Times New Roman"/>
                <w:b/>
              </w:rPr>
            </w:pPr>
            <w:r>
              <w:rPr>
                <w:rFonts w:ascii="????_GBK" w:eastAsia="Times New Roman"/>
                <w:b/>
              </w:rPr>
              <w:t>党风廉政建设</w:t>
            </w:r>
          </w:p>
        </w:tc>
        <w:tc>
          <w:tcPr>
            <w:tcW w:w="915" w:type="dxa"/>
            <w:vAlign w:val="center"/>
          </w:tcPr>
          <w:p>
            <w:pPr>
              <w:spacing w:line="300" w:lineRule="exact"/>
              <w:jc w:val="left"/>
              <w:rPr>
                <w:rFonts w:ascii="????_GBK" w:eastAsia="Times New Roman"/>
              </w:rPr>
            </w:pPr>
            <w:r>
              <w:rPr>
                <w:rFonts w:ascii="????_GBK" w:eastAsia="Times New Roman"/>
              </w:rPr>
              <w:t>25.00</w:t>
            </w:r>
          </w:p>
        </w:tc>
        <w:tc>
          <w:tcPr>
            <w:tcW w:w="3794" w:type="dxa"/>
            <w:vAlign w:val="center"/>
          </w:tcPr>
          <w:p>
            <w:pPr>
              <w:spacing w:line="300" w:lineRule="exact"/>
              <w:jc w:val="left"/>
              <w:rPr>
                <w:rFonts w:ascii="????_GBK" w:eastAsia="Times New Roman"/>
              </w:rPr>
            </w:pPr>
            <w:r>
              <w:rPr>
                <w:rFonts w:ascii="????_GBK" w:eastAsia="Times New Roman"/>
              </w:rPr>
              <w:t>负责组织协调全市党风廉政建设和反腐败宣传工作，组织开展相关法律法规、理论政策、形势任务、决策部署、成效经验和先进典型等宣传及舆论引导工作;协调全市党风廉政建设和反腐败教育工作，开展对党员、公务员的理想信念和宗旨教育、党风党纪和廉洁自律教育，组织协调廉政文化建设及纪检监察教育工作</w:t>
            </w:r>
          </w:p>
        </w:tc>
        <w:tc>
          <w:tcPr>
            <w:tcW w:w="1396" w:type="dxa"/>
            <w:vAlign w:val="center"/>
          </w:tcPr>
          <w:p>
            <w:pPr>
              <w:spacing w:line="280" w:lineRule="exact"/>
              <w:jc w:val="left"/>
              <w:rPr>
                <w:rFonts w:ascii="????_GBK" w:eastAsia="Times New Roman"/>
              </w:rPr>
            </w:pPr>
            <w:r>
              <w:rPr>
                <w:rFonts w:ascii="????_GBK" w:eastAsia="Times New Roman"/>
              </w:rPr>
              <w:t>积极发挥职能作用，加强党风廉政建设，营造风清气正、干事创业的工作氛围</w:t>
            </w:r>
          </w:p>
        </w:tc>
        <w:tc>
          <w:tcPr>
            <w:tcW w:w="1116" w:type="dxa"/>
            <w:vAlign w:val="center"/>
          </w:tcPr>
          <w:p>
            <w:pPr>
              <w:spacing w:line="300" w:lineRule="exact"/>
              <w:jc w:val="left"/>
              <w:rPr>
                <w:rFonts w:ascii="????_GBK" w:eastAsia="Times New Roman"/>
              </w:rPr>
            </w:pPr>
          </w:p>
        </w:tc>
        <w:tc>
          <w:tcPr>
            <w:tcW w:w="656" w:type="dxa"/>
            <w:vAlign w:val="center"/>
          </w:tcPr>
          <w:p>
            <w:pPr>
              <w:spacing w:line="300" w:lineRule="exact"/>
              <w:jc w:val="center"/>
              <w:rPr>
                <w:rFonts w:ascii="????_GBK" w:eastAsia="Times New Roman"/>
              </w:rPr>
            </w:pPr>
          </w:p>
        </w:tc>
        <w:tc>
          <w:tcPr>
            <w:tcW w:w="679" w:type="dxa"/>
            <w:vAlign w:val="center"/>
          </w:tcPr>
          <w:p>
            <w:pPr>
              <w:spacing w:line="300" w:lineRule="exact"/>
              <w:jc w:val="center"/>
              <w:rPr>
                <w:rFonts w:ascii="????_GBK" w:eastAsia="Times New Roman"/>
              </w:rPr>
            </w:pPr>
          </w:p>
        </w:tc>
        <w:tc>
          <w:tcPr>
            <w:tcW w:w="605" w:type="dxa"/>
            <w:vAlign w:val="center"/>
          </w:tcPr>
          <w:p>
            <w:pPr>
              <w:spacing w:line="300" w:lineRule="exact"/>
              <w:jc w:val="center"/>
              <w:rPr>
                <w:rFonts w:ascii="????_GBK" w:eastAsia="Times New Roman"/>
              </w:rPr>
            </w:pPr>
          </w:p>
        </w:tc>
        <w:tc>
          <w:tcPr>
            <w:tcW w:w="1399" w:type="dxa"/>
            <w:vAlign w:val="center"/>
          </w:tcPr>
          <w:p>
            <w:pPr>
              <w:spacing w:line="300" w:lineRule="exact"/>
              <w:jc w:val="center"/>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227" w:hRule="atLeast"/>
          <w:jc w:val="center"/>
        </w:trPr>
        <w:tc>
          <w:tcPr>
            <w:tcW w:w="2360" w:type="dxa"/>
            <w:vAlign w:val="center"/>
          </w:tcPr>
          <w:p>
            <w:pPr>
              <w:spacing w:line="300" w:lineRule="exact"/>
              <w:jc w:val="left"/>
              <w:rPr>
                <w:rFonts w:ascii="????_GBK" w:eastAsia="Times New Roman"/>
                <w:b/>
              </w:rPr>
            </w:pPr>
            <w:r>
              <w:rPr>
                <w:rFonts w:ascii="????_GBK" w:eastAsia="Times New Roman"/>
                <w:b/>
              </w:rPr>
              <w:t>　　1、反腐倡廉教育</w:t>
            </w:r>
          </w:p>
        </w:tc>
        <w:tc>
          <w:tcPr>
            <w:tcW w:w="915" w:type="dxa"/>
            <w:vAlign w:val="center"/>
          </w:tcPr>
          <w:p>
            <w:pPr>
              <w:spacing w:line="300" w:lineRule="exact"/>
              <w:jc w:val="left"/>
              <w:rPr>
                <w:rFonts w:ascii="????_GBK" w:eastAsia="Times New Roman"/>
              </w:rPr>
            </w:pPr>
            <w:r>
              <w:rPr>
                <w:rFonts w:ascii="????_GBK" w:eastAsia="Times New Roman"/>
              </w:rPr>
              <w:t>25.00</w:t>
            </w:r>
          </w:p>
        </w:tc>
        <w:tc>
          <w:tcPr>
            <w:tcW w:w="3794" w:type="dxa"/>
            <w:vAlign w:val="center"/>
          </w:tcPr>
          <w:p>
            <w:pPr>
              <w:spacing w:line="300" w:lineRule="exact"/>
              <w:jc w:val="left"/>
              <w:rPr>
                <w:rFonts w:ascii="????_GBK" w:eastAsia="Times New Roman"/>
              </w:rPr>
            </w:pPr>
            <w:r>
              <w:rPr>
                <w:rFonts w:ascii="????_GBK" w:eastAsia="Times New Roman"/>
              </w:rPr>
              <w:t>组织协调党风廉政建设和反腐败宣传教育工作，开展廉洁自律教育</w:t>
            </w:r>
          </w:p>
        </w:tc>
        <w:tc>
          <w:tcPr>
            <w:tcW w:w="1396" w:type="dxa"/>
            <w:vAlign w:val="center"/>
          </w:tcPr>
          <w:p>
            <w:pPr>
              <w:spacing w:line="280" w:lineRule="exact"/>
              <w:jc w:val="left"/>
              <w:rPr>
                <w:rFonts w:ascii="????_GBK" w:eastAsia="Times New Roman"/>
              </w:rPr>
            </w:pPr>
            <w:r>
              <w:rPr>
                <w:rFonts w:ascii="????_GBK" w:eastAsia="Times New Roman"/>
              </w:rPr>
              <w:t>充分发挥正面典型的示范作用和反面典型的警示作用，促进各级干部廉洁从政</w:t>
            </w:r>
          </w:p>
        </w:tc>
        <w:tc>
          <w:tcPr>
            <w:tcW w:w="1116" w:type="dxa"/>
            <w:vAlign w:val="center"/>
          </w:tcPr>
          <w:p>
            <w:pPr>
              <w:spacing w:line="300" w:lineRule="exact"/>
              <w:jc w:val="left"/>
              <w:rPr>
                <w:rFonts w:ascii="????_GBK" w:eastAsia="Times New Roman"/>
              </w:rPr>
            </w:pPr>
            <w:r>
              <w:rPr>
                <w:rFonts w:ascii="????_GBK" w:eastAsia="Times New Roman"/>
              </w:rPr>
              <w:t>教育活动落实率</w:t>
            </w:r>
          </w:p>
        </w:tc>
        <w:tc>
          <w:tcPr>
            <w:tcW w:w="656" w:type="dxa"/>
            <w:vAlign w:val="center"/>
          </w:tcPr>
          <w:p>
            <w:pPr>
              <w:spacing w:line="300" w:lineRule="exact"/>
              <w:jc w:val="center"/>
              <w:rPr>
                <w:rFonts w:ascii="????_GBK" w:eastAsia="Times New Roman"/>
              </w:rPr>
            </w:pPr>
            <w:r>
              <w:rPr>
                <w:rFonts w:ascii="????_GBK" w:eastAsia="Times New Roman"/>
              </w:rPr>
              <w:t>90%以上</w:t>
            </w:r>
          </w:p>
        </w:tc>
        <w:tc>
          <w:tcPr>
            <w:tcW w:w="679" w:type="dxa"/>
            <w:vAlign w:val="center"/>
          </w:tcPr>
          <w:p>
            <w:pPr>
              <w:spacing w:line="300" w:lineRule="exact"/>
              <w:jc w:val="center"/>
              <w:rPr>
                <w:rFonts w:ascii="????_GBK" w:eastAsia="Times New Roman"/>
              </w:rPr>
            </w:pPr>
            <w:r>
              <w:rPr>
                <w:rFonts w:ascii="????_GBK" w:eastAsia="Times New Roman"/>
              </w:rPr>
              <w:t>80%以上</w:t>
            </w:r>
          </w:p>
        </w:tc>
        <w:tc>
          <w:tcPr>
            <w:tcW w:w="605" w:type="dxa"/>
            <w:vAlign w:val="center"/>
          </w:tcPr>
          <w:p>
            <w:pPr>
              <w:spacing w:line="300" w:lineRule="exact"/>
              <w:jc w:val="center"/>
              <w:rPr>
                <w:rFonts w:ascii="????_GBK" w:eastAsia="Times New Roman"/>
              </w:rPr>
            </w:pPr>
            <w:r>
              <w:rPr>
                <w:rFonts w:ascii="????_GBK" w:eastAsia="Times New Roman"/>
              </w:rPr>
              <w:t>70%以上</w:t>
            </w:r>
          </w:p>
        </w:tc>
        <w:tc>
          <w:tcPr>
            <w:tcW w:w="1399" w:type="dxa"/>
            <w:vAlign w:val="center"/>
          </w:tcPr>
          <w:p>
            <w:pPr>
              <w:spacing w:line="300" w:lineRule="exact"/>
              <w:jc w:val="center"/>
              <w:rPr>
                <w:rFonts w:ascii="????_GBK" w:eastAsia="Times New Roman"/>
              </w:rPr>
            </w:pPr>
            <w:r>
              <w:rPr>
                <w:rFonts w:ascii="????_GBK" w:eastAsia="Times New Roman"/>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227" w:hRule="atLeast"/>
          <w:jc w:val="center"/>
        </w:trPr>
        <w:tc>
          <w:tcPr>
            <w:tcW w:w="2360" w:type="dxa"/>
            <w:vAlign w:val="center"/>
          </w:tcPr>
          <w:p>
            <w:pPr>
              <w:spacing w:line="300" w:lineRule="exact"/>
              <w:jc w:val="left"/>
              <w:rPr>
                <w:rFonts w:ascii="????_GBK" w:eastAsia="Times New Roman"/>
                <w:b/>
              </w:rPr>
            </w:pPr>
            <w:r>
              <w:rPr>
                <w:rFonts w:ascii="????_GBK" w:eastAsia="Times New Roman"/>
                <w:b/>
              </w:rPr>
              <w:t>督促检查及综合协调</w:t>
            </w:r>
          </w:p>
        </w:tc>
        <w:tc>
          <w:tcPr>
            <w:tcW w:w="915" w:type="dxa"/>
            <w:vAlign w:val="center"/>
          </w:tcPr>
          <w:p>
            <w:pPr>
              <w:spacing w:line="300" w:lineRule="exact"/>
              <w:jc w:val="left"/>
              <w:rPr>
                <w:rFonts w:ascii="????_GBK" w:eastAsia="Times New Roman"/>
              </w:rPr>
            </w:pPr>
            <w:r>
              <w:rPr>
                <w:rFonts w:ascii="????_GBK" w:eastAsia="Times New Roman"/>
              </w:rPr>
              <w:t>1000.00</w:t>
            </w:r>
          </w:p>
        </w:tc>
        <w:tc>
          <w:tcPr>
            <w:tcW w:w="3794" w:type="dxa"/>
            <w:vAlign w:val="center"/>
          </w:tcPr>
          <w:p>
            <w:pPr>
              <w:spacing w:line="260" w:lineRule="exact"/>
              <w:jc w:val="left"/>
              <w:rPr>
                <w:rFonts w:ascii="????_GBK" w:eastAsia="Times New Roman"/>
              </w:rPr>
            </w:pPr>
            <w:r>
              <w:rPr>
                <w:rFonts w:ascii="????_GBK" w:eastAsia="Times New Roman"/>
              </w:rPr>
              <w:t>督促检查中央纪委（监察部），省纪委（监察厅）和市委、市政府领导批办交办事项的落实情况，以及市纪委全委会工作部署和市纪委常委会议、书记办公会、监察局长办公会议决定事项及委（局）领导批办交办事项的落实情况。综合协调政治纪律的执行和作风建设规定、廉洁自律规定的落实，开展有关党风政风监督专项检查，综合协调对违反作风建设规定问题的查处;</w:t>
            </w:r>
          </w:p>
        </w:tc>
        <w:tc>
          <w:tcPr>
            <w:tcW w:w="1396" w:type="dxa"/>
            <w:vAlign w:val="center"/>
          </w:tcPr>
          <w:p>
            <w:pPr>
              <w:spacing w:line="300" w:lineRule="exact"/>
              <w:jc w:val="left"/>
              <w:rPr>
                <w:rFonts w:ascii="????_GBK" w:eastAsia="Times New Roman"/>
              </w:rPr>
            </w:pPr>
            <w:r>
              <w:rPr>
                <w:rFonts w:ascii="????_GBK" w:eastAsia="Times New Roman"/>
              </w:rPr>
              <w:t>加大监督检查力度，促进综合协调发展</w:t>
            </w:r>
          </w:p>
        </w:tc>
        <w:tc>
          <w:tcPr>
            <w:tcW w:w="1116" w:type="dxa"/>
            <w:vAlign w:val="center"/>
          </w:tcPr>
          <w:p>
            <w:pPr>
              <w:spacing w:line="300" w:lineRule="exact"/>
              <w:jc w:val="left"/>
              <w:rPr>
                <w:rFonts w:ascii="????_GBK" w:eastAsia="Times New Roman"/>
              </w:rPr>
            </w:pPr>
          </w:p>
        </w:tc>
        <w:tc>
          <w:tcPr>
            <w:tcW w:w="656" w:type="dxa"/>
            <w:vAlign w:val="center"/>
          </w:tcPr>
          <w:p>
            <w:pPr>
              <w:spacing w:line="300" w:lineRule="exact"/>
              <w:jc w:val="center"/>
              <w:rPr>
                <w:rFonts w:ascii="????_GBK" w:eastAsia="Times New Roman"/>
              </w:rPr>
            </w:pPr>
          </w:p>
        </w:tc>
        <w:tc>
          <w:tcPr>
            <w:tcW w:w="679" w:type="dxa"/>
            <w:vAlign w:val="center"/>
          </w:tcPr>
          <w:p>
            <w:pPr>
              <w:spacing w:line="300" w:lineRule="exact"/>
              <w:jc w:val="center"/>
              <w:rPr>
                <w:rFonts w:ascii="????_GBK" w:eastAsia="Times New Roman"/>
              </w:rPr>
            </w:pPr>
          </w:p>
        </w:tc>
        <w:tc>
          <w:tcPr>
            <w:tcW w:w="605" w:type="dxa"/>
            <w:vAlign w:val="center"/>
          </w:tcPr>
          <w:p>
            <w:pPr>
              <w:spacing w:line="300" w:lineRule="exact"/>
              <w:jc w:val="center"/>
              <w:rPr>
                <w:rFonts w:ascii="????_GBK" w:eastAsia="Times New Roman"/>
              </w:rPr>
            </w:pPr>
          </w:p>
        </w:tc>
        <w:tc>
          <w:tcPr>
            <w:tcW w:w="1399" w:type="dxa"/>
            <w:vAlign w:val="center"/>
          </w:tcPr>
          <w:p>
            <w:pPr>
              <w:spacing w:line="300" w:lineRule="exact"/>
              <w:jc w:val="center"/>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227" w:hRule="atLeast"/>
          <w:jc w:val="center"/>
        </w:trPr>
        <w:tc>
          <w:tcPr>
            <w:tcW w:w="2360" w:type="dxa"/>
            <w:vAlign w:val="center"/>
          </w:tcPr>
          <w:p>
            <w:pPr>
              <w:spacing w:line="300" w:lineRule="exact"/>
              <w:jc w:val="left"/>
              <w:rPr>
                <w:rFonts w:ascii="????_GBK" w:eastAsia="Times New Roman"/>
                <w:b/>
              </w:rPr>
            </w:pPr>
            <w:r>
              <w:rPr>
                <w:rFonts w:ascii="????_GBK" w:eastAsia="Times New Roman"/>
                <w:b/>
              </w:rPr>
              <w:t>　　1、监督检查</w:t>
            </w:r>
          </w:p>
        </w:tc>
        <w:tc>
          <w:tcPr>
            <w:tcW w:w="915" w:type="dxa"/>
            <w:vAlign w:val="center"/>
          </w:tcPr>
          <w:p>
            <w:pPr>
              <w:spacing w:line="300" w:lineRule="exact"/>
              <w:jc w:val="left"/>
              <w:rPr>
                <w:rFonts w:ascii="????_GBK" w:eastAsia="Times New Roman"/>
              </w:rPr>
            </w:pPr>
          </w:p>
        </w:tc>
        <w:tc>
          <w:tcPr>
            <w:tcW w:w="3794" w:type="dxa"/>
            <w:vAlign w:val="center"/>
          </w:tcPr>
          <w:p>
            <w:pPr>
              <w:spacing w:line="260" w:lineRule="exact"/>
              <w:jc w:val="left"/>
              <w:rPr>
                <w:rFonts w:ascii="????_GBK" w:eastAsia="Times New Roman"/>
              </w:rPr>
            </w:pPr>
            <w:r>
              <w:rPr>
                <w:rFonts w:ascii="????_GBK" w:eastAsia="Times New Roman"/>
              </w:rPr>
              <w:t>监督检查党内法规政策、国家法律法规、党风廉政建设等的执行情况；履行纠正行业不正之风办公室职能；贯彻落实有关部署，开展常态化全覆盖监督。</w:t>
            </w:r>
          </w:p>
        </w:tc>
        <w:tc>
          <w:tcPr>
            <w:tcW w:w="1396" w:type="dxa"/>
            <w:vAlign w:val="center"/>
          </w:tcPr>
          <w:p>
            <w:pPr>
              <w:spacing w:line="300" w:lineRule="exact"/>
              <w:jc w:val="left"/>
              <w:rPr>
                <w:rFonts w:ascii="????_GBK" w:eastAsia="Times New Roman"/>
              </w:rPr>
            </w:pPr>
            <w:r>
              <w:rPr>
                <w:rFonts w:ascii="????_GBK" w:eastAsia="Times New Roman"/>
              </w:rPr>
              <w:t>加大问责力度，促进“两个责任”有效落实</w:t>
            </w:r>
          </w:p>
        </w:tc>
        <w:tc>
          <w:tcPr>
            <w:tcW w:w="1116" w:type="dxa"/>
            <w:vAlign w:val="center"/>
          </w:tcPr>
          <w:p>
            <w:pPr>
              <w:spacing w:line="300" w:lineRule="exact"/>
              <w:jc w:val="left"/>
              <w:rPr>
                <w:rFonts w:ascii="????_GBK" w:eastAsia="Times New Roman"/>
              </w:rPr>
            </w:pPr>
            <w:r>
              <w:rPr>
                <w:rFonts w:ascii="????_GBK" w:eastAsia="Times New Roman"/>
              </w:rPr>
              <w:t>监督工作完成率</w:t>
            </w:r>
          </w:p>
        </w:tc>
        <w:tc>
          <w:tcPr>
            <w:tcW w:w="656" w:type="dxa"/>
            <w:vAlign w:val="center"/>
          </w:tcPr>
          <w:p>
            <w:pPr>
              <w:spacing w:line="300" w:lineRule="exact"/>
              <w:jc w:val="center"/>
              <w:rPr>
                <w:rFonts w:ascii="????_GBK" w:eastAsia="Times New Roman"/>
              </w:rPr>
            </w:pPr>
            <w:r>
              <w:rPr>
                <w:rFonts w:ascii="????_GBK" w:eastAsia="Times New Roman"/>
              </w:rPr>
              <w:t>90%以上</w:t>
            </w:r>
          </w:p>
        </w:tc>
        <w:tc>
          <w:tcPr>
            <w:tcW w:w="679" w:type="dxa"/>
            <w:vAlign w:val="center"/>
          </w:tcPr>
          <w:p>
            <w:pPr>
              <w:spacing w:line="300" w:lineRule="exact"/>
              <w:jc w:val="center"/>
              <w:rPr>
                <w:rFonts w:ascii="????_GBK" w:eastAsia="Times New Roman"/>
              </w:rPr>
            </w:pPr>
            <w:r>
              <w:rPr>
                <w:rFonts w:ascii="????_GBK" w:eastAsia="Times New Roman"/>
              </w:rPr>
              <w:t>80%以上</w:t>
            </w:r>
          </w:p>
        </w:tc>
        <w:tc>
          <w:tcPr>
            <w:tcW w:w="605" w:type="dxa"/>
            <w:vAlign w:val="center"/>
          </w:tcPr>
          <w:p>
            <w:pPr>
              <w:spacing w:line="300" w:lineRule="exact"/>
              <w:jc w:val="center"/>
              <w:rPr>
                <w:rFonts w:ascii="????_GBK" w:eastAsia="Times New Roman"/>
              </w:rPr>
            </w:pPr>
            <w:r>
              <w:rPr>
                <w:rFonts w:ascii="????_GBK" w:eastAsia="Times New Roman"/>
              </w:rPr>
              <w:t>70%以上</w:t>
            </w:r>
          </w:p>
        </w:tc>
        <w:tc>
          <w:tcPr>
            <w:tcW w:w="1399" w:type="dxa"/>
            <w:vAlign w:val="center"/>
          </w:tcPr>
          <w:p>
            <w:pPr>
              <w:spacing w:line="300" w:lineRule="exact"/>
              <w:jc w:val="center"/>
              <w:rPr>
                <w:rFonts w:ascii="????_GBK" w:eastAsia="Times New Roman"/>
              </w:rPr>
            </w:pPr>
            <w:r>
              <w:rPr>
                <w:rFonts w:ascii="????_GBK" w:eastAsia="Times New Roman"/>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227" w:hRule="atLeast"/>
          <w:jc w:val="center"/>
        </w:trPr>
        <w:tc>
          <w:tcPr>
            <w:tcW w:w="2360" w:type="dxa"/>
            <w:vAlign w:val="center"/>
          </w:tcPr>
          <w:p>
            <w:pPr>
              <w:spacing w:line="300" w:lineRule="exact"/>
              <w:ind w:firstLine="420" w:firstLineChars="200"/>
              <w:jc w:val="left"/>
              <w:rPr>
                <w:rFonts w:ascii="????_GBK" w:eastAsia="Times New Roman"/>
                <w:b/>
              </w:rPr>
            </w:pPr>
            <w:r>
              <w:rPr>
                <w:rFonts w:ascii="????_GBK" w:eastAsia="Times New Roman"/>
                <w:b/>
              </w:rPr>
              <w:t>2、巡视监督</w:t>
            </w:r>
          </w:p>
        </w:tc>
        <w:tc>
          <w:tcPr>
            <w:tcW w:w="915" w:type="dxa"/>
            <w:vAlign w:val="center"/>
          </w:tcPr>
          <w:p>
            <w:pPr>
              <w:spacing w:line="300" w:lineRule="exact"/>
              <w:jc w:val="left"/>
              <w:rPr>
                <w:rFonts w:ascii="????_GBK" w:eastAsia="Times New Roman"/>
              </w:rPr>
            </w:pPr>
            <w:r>
              <w:rPr>
                <w:rFonts w:ascii="????_GBK" w:eastAsia="Times New Roman"/>
              </w:rPr>
              <w:t>1000.00</w:t>
            </w:r>
          </w:p>
        </w:tc>
        <w:tc>
          <w:tcPr>
            <w:tcW w:w="3794" w:type="dxa"/>
            <w:vAlign w:val="center"/>
          </w:tcPr>
          <w:p>
            <w:pPr>
              <w:spacing w:line="260" w:lineRule="exact"/>
              <w:jc w:val="left"/>
              <w:rPr>
                <w:rFonts w:ascii="????_GBK" w:eastAsia="Times New Roman"/>
              </w:rPr>
            </w:pPr>
            <w:r>
              <w:rPr>
                <w:rFonts w:ascii="????_GBK" w:eastAsia="Times New Roman"/>
              </w:rPr>
              <w:t>做好省委巡视组、市委巡察工作联络组的服务保障工作。研究开展驻点巡查工作，探索工作规律，发现工作问题，提出改进措施。</w:t>
            </w:r>
          </w:p>
        </w:tc>
        <w:tc>
          <w:tcPr>
            <w:tcW w:w="1396" w:type="dxa"/>
            <w:vAlign w:val="center"/>
          </w:tcPr>
          <w:p>
            <w:pPr>
              <w:spacing w:line="300" w:lineRule="exact"/>
              <w:jc w:val="left"/>
              <w:rPr>
                <w:rFonts w:ascii="????_GBK" w:eastAsia="Times New Roman"/>
              </w:rPr>
            </w:pPr>
            <w:r>
              <w:rPr>
                <w:rFonts w:ascii="????_GBK" w:eastAsia="Times New Roman"/>
              </w:rPr>
              <w:t>巡视监督常态化、全覆盖。</w:t>
            </w:r>
          </w:p>
        </w:tc>
        <w:tc>
          <w:tcPr>
            <w:tcW w:w="1116" w:type="dxa"/>
            <w:vAlign w:val="center"/>
          </w:tcPr>
          <w:p>
            <w:pPr>
              <w:spacing w:line="300" w:lineRule="exact"/>
              <w:jc w:val="left"/>
              <w:rPr>
                <w:rFonts w:ascii="????_GBK" w:eastAsia="Times New Roman"/>
              </w:rPr>
            </w:pPr>
            <w:r>
              <w:rPr>
                <w:rFonts w:ascii="????_GBK" w:eastAsia="Times New Roman"/>
              </w:rPr>
              <w:t>巡视工作完成率</w:t>
            </w:r>
          </w:p>
        </w:tc>
        <w:tc>
          <w:tcPr>
            <w:tcW w:w="656" w:type="dxa"/>
            <w:vAlign w:val="center"/>
          </w:tcPr>
          <w:p>
            <w:pPr>
              <w:spacing w:line="300" w:lineRule="exact"/>
              <w:jc w:val="center"/>
              <w:rPr>
                <w:rFonts w:ascii="????_GBK" w:eastAsia="Times New Roman"/>
              </w:rPr>
            </w:pPr>
            <w:r>
              <w:rPr>
                <w:rFonts w:ascii="????_GBK" w:eastAsia="Times New Roman"/>
              </w:rPr>
              <w:t>90%以上</w:t>
            </w:r>
          </w:p>
        </w:tc>
        <w:tc>
          <w:tcPr>
            <w:tcW w:w="679" w:type="dxa"/>
            <w:vAlign w:val="center"/>
          </w:tcPr>
          <w:p>
            <w:pPr>
              <w:spacing w:line="300" w:lineRule="exact"/>
              <w:jc w:val="center"/>
              <w:rPr>
                <w:rFonts w:ascii="????_GBK" w:eastAsia="Times New Roman"/>
              </w:rPr>
            </w:pPr>
            <w:r>
              <w:rPr>
                <w:rFonts w:ascii="????_GBK" w:eastAsia="Times New Roman"/>
              </w:rPr>
              <w:t>80%以上</w:t>
            </w:r>
          </w:p>
        </w:tc>
        <w:tc>
          <w:tcPr>
            <w:tcW w:w="605" w:type="dxa"/>
            <w:vAlign w:val="center"/>
          </w:tcPr>
          <w:p>
            <w:pPr>
              <w:spacing w:line="300" w:lineRule="exact"/>
              <w:jc w:val="center"/>
              <w:rPr>
                <w:rFonts w:ascii="????_GBK" w:eastAsia="Times New Roman"/>
              </w:rPr>
            </w:pPr>
            <w:r>
              <w:rPr>
                <w:rFonts w:ascii="????_GBK" w:eastAsia="Times New Roman"/>
              </w:rPr>
              <w:t>70%以上</w:t>
            </w:r>
          </w:p>
        </w:tc>
        <w:tc>
          <w:tcPr>
            <w:tcW w:w="1399" w:type="dxa"/>
            <w:vAlign w:val="center"/>
          </w:tcPr>
          <w:p>
            <w:pPr>
              <w:spacing w:line="300" w:lineRule="exact"/>
              <w:jc w:val="center"/>
              <w:rPr>
                <w:rFonts w:ascii="????_GBK" w:eastAsia="Times New Roman"/>
              </w:rPr>
            </w:pPr>
            <w:r>
              <w:rPr>
                <w:rFonts w:ascii="????_GBK" w:eastAsia="Times New Roman"/>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227" w:hRule="atLeast"/>
          <w:jc w:val="center"/>
        </w:trPr>
        <w:tc>
          <w:tcPr>
            <w:tcW w:w="2360" w:type="dxa"/>
            <w:vAlign w:val="center"/>
          </w:tcPr>
          <w:p>
            <w:pPr>
              <w:spacing w:line="300" w:lineRule="exact"/>
              <w:jc w:val="left"/>
              <w:rPr>
                <w:rFonts w:ascii="????_GBK" w:eastAsia="Times New Roman"/>
                <w:b/>
              </w:rPr>
            </w:pPr>
            <w:r>
              <w:rPr>
                <w:rFonts w:ascii="????_GBK" w:eastAsia="Times New Roman"/>
                <w:b/>
              </w:rPr>
              <w:t>综合监察监督管理</w:t>
            </w:r>
          </w:p>
        </w:tc>
        <w:tc>
          <w:tcPr>
            <w:tcW w:w="915" w:type="dxa"/>
            <w:vAlign w:val="center"/>
          </w:tcPr>
          <w:p>
            <w:pPr>
              <w:spacing w:line="300" w:lineRule="exact"/>
              <w:jc w:val="left"/>
              <w:rPr>
                <w:rFonts w:ascii="????_GBK" w:eastAsia="Times New Roman"/>
              </w:rPr>
            </w:pPr>
            <w:r>
              <w:rPr>
                <w:rFonts w:ascii="????_GBK" w:eastAsia="Times New Roman"/>
              </w:rPr>
              <w:t>5.00</w:t>
            </w:r>
          </w:p>
        </w:tc>
        <w:tc>
          <w:tcPr>
            <w:tcW w:w="3794" w:type="dxa"/>
            <w:vAlign w:val="center"/>
          </w:tcPr>
          <w:p>
            <w:pPr>
              <w:spacing w:line="260" w:lineRule="exact"/>
              <w:jc w:val="left"/>
              <w:rPr>
                <w:rFonts w:ascii="????_GBK" w:eastAsia="Times New Roman"/>
              </w:rPr>
            </w:pPr>
            <w:r>
              <w:rPr>
                <w:rFonts w:ascii="????_GBK" w:eastAsia="Times New Roman"/>
              </w:rPr>
              <w:t>负责对市管干部问题线索进行集中管理，并分送相关纪检监察室，协助办理市管干部任职前回复市委组织部意见工作;监督检查全市纪检监察系统干部遵守和执行党章以及其他党内法规，遵守和执行党的路线方针政策和决议、国家法律法规等方面的情况;协助党委制定惩治和预防腐败体系工作规划实施意见，综合协调责任单位落实任务分工，组织协调重要监督检查活动和考核工作;</w:t>
            </w:r>
          </w:p>
        </w:tc>
        <w:tc>
          <w:tcPr>
            <w:tcW w:w="1396" w:type="dxa"/>
            <w:vAlign w:val="center"/>
          </w:tcPr>
          <w:p>
            <w:pPr>
              <w:spacing w:line="300" w:lineRule="exact"/>
              <w:jc w:val="left"/>
              <w:rPr>
                <w:rFonts w:ascii="????_GBK" w:eastAsia="Times New Roman"/>
              </w:rPr>
            </w:pPr>
            <w:r>
              <w:rPr>
                <w:rFonts w:ascii="????_GBK" w:eastAsia="Times New Roman"/>
              </w:rPr>
              <w:t>监察监督全覆盖</w:t>
            </w:r>
          </w:p>
        </w:tc>
        <w:tc>
          <w:tcPr>
            <w:tcW w:w="1116" w:type="dxa"/>
            <w:vAlign w:val="center"/>
          </w:tcPr>
          <w:p>
            <w:pPr>
              <w:spacing w:line="300" w:lineRule="exact"/>
              <w:jc w:val="left"/>
              <w:rPr>
                <w:rFonts w:ascii="????_GBK" w:eastAsia="Times New Roman"/>
              </w:rPr>
            </w:pPr>
          </w:p>
        </w:tc>
        <w:tc>
          <w:tcPr>
            <w:tcW w:w="656" w:type="dxa"/>
            <w:vAlign w:val="center"/>
          </w:tcPr>
          <w:p>
            <w:pPr>
              <w:spacing w:line="300" w:lineRule="exact"/>
              <w:jc w:val="center"/>
              <w:rPr>
                <w:rFonts w:ascii="????_GBK" w:eastAsia="Times New Roman"/>
              </w:rPr>
            </w:pPr>
          </w:p>
        </w:tc>
        <w:tc>
          <w:tcPr>
            <w:tcW w:w="679" w:type="dxa"/>
            <w:vAlign w:val="center"/>
          </w:tcPr>
          <w:p>
            <w:pPr>
              <w:spacing w:line="300" w:lineRule="exact"/>
              <w:jc w:val="center"/>
              <w:rPr>
                <w:rFonts w:ascii="????_GBK" w:eastAsia="Times New Roman"/>
              </w:rPr>
            </w:pPr>
          </w:p>
        </w:tc>
        <w:tc>
          <w:tcPr>
            <w:tcW w:w="605" w:type="dxa"/>
            <w:vAlign w:val="center"/>
          </w:tcPr>
          <w:p>
            <w:pPr>
              <w:spacing w:line="300" w:lineRule="exact"/>
              <w:jc w:val="center"/>
              <w:rPr>
                <w:rFonts w:ascii="????_GBK" w:eastAsia="Times New Roman"/>
              </w:rPr>
            </w:pPr>
          </w:p>
        </w:tc>
        <w:tc>
          <w:tcPr>
            <w:tcW w:w="1399" w:type="dxa"/>
            <w:vAlign w:val="center"/>
          </w:tcPr>
          <w:p>
            <w:pPr>
              <w:spacing w:line="300" w:lineRule="exact"/>
              <w:jc w:val="center"/>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227" w:hRule="atLeast"/>
          <w:jc w:val="center"/>
        </w:trPr>
        <w:tc>
          <w:tcPr>
            <w:tcW w:w="2360" w:type="dxa"/>
            <w:vAlign w:val="center"/>
          </w:tcPr>
          <w:p>
            <w:pPr>
              <w:spacing w:line="300" w:lineRule="exact"/>
              <w:jc w:val="left"/>
              <w:rPr>
                <w:rFonts w:ascii="????_GBK" w:eastAsia="Times New Roman"/>
                <w:b/>
              </w:rPr>
            </w:pPr>
            <w:r>
              <w:rPr>
                <w:rFonts w:ascii="????_GBK" w:eastAsia="Times New Roman"/>
                <w:b/>
              </w:rPr>
              <w:t>　　1、案件监督管理</w:t>
            </w:r>
          </w:p>
        </w:tc>
        <w:tc>
          <w:tcPr>
            <w:tcW w:w="915" w:type="dxa"/>
            <w:vAlign w:val="center"/>
          </w:tcPr>
          <w:p>
            <w:pPr>
              <w:spacing w:line="300" w:lineRule="exact"/>
              <w:jc w:val="left"/>
              <w:rPr>
                <w:rFonts w:ascii="????_GBK" w:eastAsia="Times New Roman"/>
              </w:rPr>
            </w:pPr>
            <w:r>
              <w:rPr>
                <w:rFonts w:ascii="????_GBK" w:eastAsia="Times New Roman"/>
              </w:rPr>
              <w:t>5.00</w:t>
            </w:r>
          </w:p>
        </w:tc>
        <w:tc>
          <w:tcPr>
            <w:tcW w:w="3794" w:type="dxa"/>
            <w:vAlign w:val="center"/>
          </w:tcPr>
          <w:p>
            <w:pPr>
              <w:spacing w:line="360" w:lineRule="exact"/>
              <w:jc w:val="left"/>
              <w:rPr>
                <w:rFonts w:ascii="????_GBK" w:eastAsia="Times New Roman"/>
              </w:rPr>
            </w:pPr>
            <w:r>
              <w:rPr>
                <w:rFonts w:ascii="????_GBK" w:eastAsia="Times New Roman"/>
              </w:rPr>
              <w:t>对依纪依法安全办案情况进行监督检查，对委局办案场所的安全保密工作进行监督检查，落实办案安全责任制</w:t>
            </w:r>
          </w:p>
        </w:tc>
        <w:tc>
          <w:tcPr>
            <w:tcW w:w="1396" w:type="dxa"/>
            <w:vAlign w:val="center"/>
          </w:tcPr>
          <w:p>
            <w:pPr>
              <w:spacing w:line="300" w:lineRule="exact"/>
              <w:jc w:val="left"/>
              <w:rPr>
                <w:rFonts w:ascii="????_GBK" w:eastAsia="Times New Roman"/>
              </w:rPr>
            </w:pPr>
            <w:r>
              <w:rPr>
                <w:rFonts w:ascii="????_GBK" w:eastAsia="Times New Roman"/>
              </w:rPr>
              <w:t>受理下级纪检机关线索处置和查办报告及督促案件安全查办和责任追究</w:t>
            </w:r>
          </w:p>
        </w:tc>
        <w:tc>
          <w:tcPr>
            <w:tcW w:w="1116" w:type="dxa"/>
            <w:vAlign w:val="center"/>
          </w:tcPr>
          <w:p>
            <w:pPr>
              <w:spacing w:line="300" w:lineRule="exact"/>
              <w:jc w:val="left"/>
              <w:rPr>
                <w:rFonts w:ascii="????_GBK" w:eastAsia="Times New Roman"/>
              </w:rPr>
            </w:pPr>
            <w:r>
              <w:rPr>
                <w:rFonts w:ascii="????_GBK" w:eastAsia="Times New Roman"/>
              </w:rPr>
              <w:t>监察监督案件覆盖率</w:t>
            </w:r>
          </w:p>
        </w:tc>
        <w:tc>
          <w:tcPr>
            <w:tcW w:w="656" w:type="dxa"/>
            <w:vAlign w:val="center"/>
          </w:tcPr>
          <w:p>
            <w:pPr>
              <w:spacing w:line="300" w:lineRule="exact"/>
              <w:jc w:val="center"/>
              <w:rPr>
                <w:rFonts w:ascii="????_GBK" w:eastAsia="Times New Roman"/>
              </w:rPr>
            </w:pPr>
            <w:r>
              <w:rPr>
                <w:rFonts w:ascii="????_GBK" w:eastAsia="Times New Roman"/>
              </w:rPr>
              <w:t>90%以上</w:t>
            </w:r>
          </w:p>
        </w:tc>
        <w:tc>
          <w:tcPr>
            <w:tcW w:w="679" w:type="dxa"/>
            <w:vAlign w:val="center"/>
          </w:tcPr>
          <w:p>
            <w:pPr>
              <w:spacing w:line="300" w:lineRule="exact"/>
              <w:jc w:val="center"/>
              <w:rPr>
                <w:rFonts w:ascii="????_GBK" w:eastAsia="Times New Roman"/>
              </w:rPr>
            </w:pPr>
            <w:r>
              <w:rPr>
                <w:rFonts w:ascii="????_GBK" w:eastAsia="Times New Roman"/>
              </w:rPr>
              <w:t>80%以上</w:t>
            </w:r>
          </w:p>
        </w:tc>
        <w:tc>
          <w:tcPr>
            <w:tcW w:w="605" w:type="dxa"/>
            <w:vAlign w:val="center"/>
          </w:tcPr>
          <w:p>
            <w:pPr>
              <w:spacing w:line="300" w:lineRule="exact"/>
              <w:jc w:val="center"/>
              <w:rPr>
                <w:rFonts w:ascii="????_GBK" w:eastAsia="Times New Roman"/>
              </w:rPr>
            </w:pPr>
            <w:r>
              <w:rPr>
                <w:rFonts w:ascii="????_GBK" w:eastAsia="Times New Roman"/>
              </w:rPr>
              <w:t>70%以上</w:t>
            </w:r>
          </w:p>
        </w:tc>
        <w:tc>
          <w:tcPr>
            <w:tcW w:w="1399" w:type="dxa"/>
            <w:vAlign w:val="center"/>
          </w:tcPr>
          <w:p>
            <w:pPr>
              <w:spacing w:line="300" w:lineRule="exact"/>
              <w:jc w:val="center"/>
              <w:rPr>
                <w:rFonts w:ascii="????_GBK" w:eastAsia="Times New Roman"/>
              </w:rPr>
            </w:pPr>
            <w:r>
              <w:rPr>
                <w:rFonts w:ascii="????_GBK" w:eastAsia="Times New Roman"/>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2632" w:hRule="atLeast"/>
          <w:jc w:val="center"/>
        </w:trPr>
        <w:tc>
          <w:tcPr>
            <w:tcW w:w="2360" w:type="dxa"/>
            <w:vAlign w:val="center"/>
          </w:tcPr>
          <w:p>
            <w:pPr>
              <w:spacing w:line="300" w:lineRule="exact"/>
              <w:jc w:val="left"/>
              <w:rPr>
                <w:rFonts w:ascii="????_GBK" w:eastAsia="Times New Roman"/>
                <w:b/>
              </w:rPr>
            </w:pPr>
            <w:r>
              <w:rPr>
                <w:rFonts w:ascii="????_GBK" w:eastAsia="Times New Roman"/>
                <w:b/>
              </w:rPr>
              <w:t>　　2、监察干部监督</w:t>
            </w:r>
          </w:p>
        </w:tc>
        <w:tc>
          <w:tcPr>
            <w:tcW w:w="915" w:type="dxa"/>
            <w:vAlign w:val="center"/>
          </w:tcPr>
          <w:p>
            <w:pPr>
              <w:spacing w:line="300" w:lineRule="exact"/>
              <w:jc w:val="left"/>
              <w:rPr>
                <w:rFonts w:ascii="????_GBK" w:eastAsia="Times New Roman"/>
              </w:rPr>
            </w:pPr>
          </w:p>
        </w:tc>
        <w:tc>
          <w:tcPr>
            <w:tcW w:w="3794" w:type="dxa"/>
            <w:vAlign w:val="center"/>
          </w:tcPr>
          <w:p>
            <w:pPr>
              <w:spacing w:line="360" w:lineRule="exact"/>
              <w:jc w:val="left"/>
              <w:rPr>
                <w:rFonts w:ascii="????_GBK" w:eastAsia="Times New Roman"/>
              </w:rPr>
            </w:pPr>
            <w:r>
              <w:rPr>
                <w:rFonts w:ascii="????_GBK" w:eastAsia="Times New Roman"/>
              </w:rPr>
              <w:t>督促检查中央纪委（监察部），受理市以及党和国家机关派驻纪检监察机构领导班子级以上干部违纪违法问题的举报，负责问题线索的初核及案件的审查工作，提出处理建议</w:t>
            </w:r>
          </w:p>
        </w:tc>
        <w:tc>
          <w:tcPr>
            <w:tcW w:w="1396" w:type="dxa"/>
            <w:vAlign w:val="center"/>
          </w:tcPr>
          <w:p>
            <w:pPr>
              <w:spacing w:line="300" w:lineRule="exact"/>
              <w:jc w:val="left"/>
              <w:rPr>
                <w:rFonts w:ascii="????_GBK" w:eastAsia="Times New Roman"/>
              </w:rPr>
            </w:pPr>
            <w:r>
              <w:rPr>
                <w:rFonts w:ascii="????_GBK" w:eastAsia="Times New Roman"/>
              </w:rPr>
              <w:t>加强纪检监察干部监督，指导监察干部监督工作。</w:t>
            </w:r>
          </w:p>
        </w:tc>
        <w:tc>
          <w:tcPr>
            <w:tcW w:w="1116" w:type="dxa"/>
            <w:vAlign w:val="center"/>
          </w:tcPr>
          <w:p>
            <w:pPr>
              <w:spacing w:line="300" w:lineRule="exact"/>
              <w:jc w:val="left"/>
              <w:rPr>
                <w:rFonts w:ascii="????_GBK" w:eastAsia="Times New Roman"/>
              </w:rPr>
            </w:pPr>
            <w:r>
              <w:rPr>
                <w:rFonts w:ascii="????_GBK" w:eastAsia="Times New Roman"/>
              </w:rPr>
              <w:t>监察监督纪检监察干部覆盖率</w:t>
            </w:r>
          </w:p>
        </w:tc>
        <w:tc>
          <w:tcPr>
            <w:tcW w:w="656" w:type="dxa"/>
            <w:vAlign w:val="center"/>
          </w:tcPr>
          <w:p>
            <w:pPr>
              <w:spacing w:line="300" w:lineRule="exact"/>
              <w:jc w:val="center"/>
              <w:rPr>
                <w:rFonts w:ascii="????_GBK" w:eastAsia="Times New Roman"/>
              </w:rPr>
            </w:pPr>
            <w:r>
              <w:rPr>
                <w:rFonts w:ascii="????_GBK" w:eastAsia="Times New Roman"/>
              </w:rPr>
              <w:t>90%以上</w:t>
            </w:r>
          </w:p>
        </w:tc>
        <w:tc>
          <w:tcPr>
            <w:tcW w:w="679" w:type="dxa"/>
            <w:vAlign w:val="center"/>
          </w:tcPr>
          <w:p>
            <w:pPr>
              <w:spacing w:line="300" w:lineRule="exact"/>
              <w:jc w:val="center"/>
              <w:rPr>
                <w:rFonts w:ascii="????_GBK" w:eastAsia="Times New Roman"/>
              </w:rPr>
            </w:pPr>
            <w:r>
              <w:rPr>
                <w:rFonts w:ascii="????_GBK" w:eastAsia="Times New Roman"/>
              </w:rPr>
              <w:t>80%以上</w:t>
            </w:r>
          </w:p>
        </w:tc>
        <w:tc>
          <w:tcPr>
            <w:tcW w:w="605" w:type="dxa"/>
            <w:vAlign w:val="center"/>
          </w:tcPr>
          <w:p>
            <w:pPr>
              <w:spacing w:line="300" w:lineRule="exact"/>
              <w:jc w:val="center"/>
              <w:rPr>
                <w:rFonts w:ascii="????_GBK" w:eastAsia="Times New Roman"/>
              </w:rPr>
            </w:pPr>
            <w:r>
              <w:rPr>
                <w:rFonts w:ascii="????_GBK" w:eastAsia="Times New Roman"/>
              </w:rPr>
              <w:t>70%以上</w:t>
            </w:r>
          </w:p>
        </w:tc>
        <w:tc>
          <w:tcPr>
            <w:tcW w:w="1399" w:type="dxa"/>
            <w:vAlign w:val="center"/>
          </w:tcPr>
          <w:p>
            <w:pPr>
              <w:spacing w:line="300" w:lineRule="exact"/>
              <w:jc w:val="center"/>
              <w:rPr>
                <w:rFonts w:ascii="????_GBK" w:eastAsia="Times New Roman"/>
              </w:rPr>
            </w:pPr>
            <w:r>
              <w:rPr>
                <w:rFonts w:ascii="????_GBK" w:eastAsia="Times New Roman"/>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227" w:hRule="atLeast"/>
          <w:jc w:val="center"/>
        </w:trPr>
        <w:tc>
          <w:tcPr>
            <w:tcW w:w="2360" w:type="dxa"/>
            <w:vAlign w:val="center"/>
          </w:tcPr>
          <w:p>
            <w:pPr>
              <w:spacing w:line="300" w:lineRule="exact"/>
              <w:jc w:val="left"/>
              <w:rPr>
                <w:rFonts w:ascii="????_GBK" w:eastAsia="Times New Roman"/>
                <w:b/>
              </w:rPr>
            </w:pPr>
            <w:r>
              <w:rPr>
                <w:rFonts w:ascii="????_GBK" w:eastAsia="Times New Roman"/>
                <w:b/>
              </w:rPr>
              <w:t>　　纪检系统管理</w:t>
            </w:r>
          </w:p>
        </w:tc>
        <w:tc>
          <w:tcPr>
            <w:tcW w:w="915" w:type="dxa"/>
            <w:vAlign w:val="center"/>
          </w:tcPr>
          <w:p>
            <w:pPr>
              <w:spacing w:line="300" w:lineRule="exact"/>
              <w:jc w:val="left"/>
              <w:rPr>
                <w:rFonts w:ascii="????_GBK" w:eastAsia="Times New Roman"/>
              </w:rPr>
            </w:pPr>
          </w:p>
        </w:tc>
        <w:tc>
          <w:tcPr>
            <w:tcW w:w="3794" w:type="dxa"/>
            <w:vAlign w:val="center"/>
          </w:tcPr>
          <w:p>
            <w:pPr>
              <w:spacing w:line="360" w:lineRule="exact"/>
              <w:jc w:val="left"/>
              <w:rPr>
                <w:rFonts w:ascii="????_GBK" w:eastAsia="Times New Roman"/>
              </w:rPr>
            </w:pPr>
            <w:r>
              <w:rPr>
                <w:rFonts w:ascii="????_GBK" w:eastAsia="Times New Roman"/>
              </w:rPr>
              <w:t>加强全市纪检监察系统领导班子、干部队伍</w:t>
            </w:r>
            <w:r>
              <w:rPr>
                <w:rFonts w:hint="eastAsia" w:ascii="????_GBK"/>
              </w:rPr>
              <w:t>和组织建设</w:t>
            </w:r>
            <w:r>
              <w:rPr>
                <w:rFonts w:ascii="????_GBK" w:eastAsia="Times New Roman"/>
              </w:rPr>
              <w:t>，打造一支高素质、高水平的纪检监察干部队伍。</w:t>
            </w:r>
          </w:p>
        </w:tc>
        <w:tc>
          <w:tcPr>
            <w:tcW w:w="1396" w:type="dxa"/>
            <w:vAlign w:val="center"/>
          </w:tcPr>
          <w:p>
            <w:pPr>
              <w:spacing w:line="300" w:lineRule="exact"/>
              <w:jc w:val="left"/>
              <w:rPr>
                <w:rFonts w:ascii="????_GBK" w:eastAsia="Times New Roman"/>
              </w:rPr>
            </w:pPr>
            <w:r>
              <w:rPr>
                <w:rFonts w:ascii="????_GBK" w:eastAsia="Times New Roman"/>
              </w:rPr>
              <w:t>加强全市纪检监察系统领导班子、干部队伍和组织建设，打造一支高素质、高水平的纪检监察干部队伍</w:t>
            </w:r>
          </w:p>
        </w:tc>
        <w:tc>
          <w:tcPr>
            <w:tcW w:w="1116" w:type="dxa"/>
            <w:vAlign w:val="center"/>
          </w:tcPr>
          <w:p>
            <w:pPr>
              <w:spacing w:line="300" w:lineRule="exact"/>
              <w:jc w:val="left"/>
              <w:rPr>
                <w:rFonts w:ascii="????_GBK" w:eastAsia="Times New Roman"/>
              </w:rPr>
            </w:pPr>
            <w:r>
              <w:rPr>
                <w:rFonts w:ascii="????_GBK" w:eastAsia="Times New Roman"/>
              </w:rPr>
              <w:t>纪检监察干部合格率</w:t>
            </w:r>
          </w:p>
        </w:tc>
        <w:tc>
          <w:tcPr>
            <w:tcW w:w="656" w:type="dxa"/>
            <w:vAlign w:val="center"/>
          </w:tcPr>
          <w:p>
            <w:pPr>
              <w:spacing w:line="300" w:lineRule="exact"/>
              <w:jc w:val="center"/>
              <w:rPr>
                <w:rFonts w:ascii="????_GBK" w:eastAsia="Times New Roman"/>
              </w:rPr>
            </w:pPr>
            <w:r>
              <w:rPr>
                <w:rFonts w:ascii="????_GBK" w:eastAsia="Times New Roman"/>
              </w:rPr>
              <w:t>90%以上</w:t>
            </w:r>
          </w:p>
        </w:tc>
        <w:tc>
          <w:tcPr>
            <w:tcW w:w="679" w:type="dxa"/>
            <w:vAlign w:val="center"/>
          </w:tcPr>
          <w:p>
            <w:pPr>
              <w:spacing w:line="300" w:lineRule="exact"/>
              <w:jc w:val="center"/>
              <w:rPr>
                <w:rFonts w:ascii="????_GBK" w:eastAsia="Times New Roman"/>
              </w:rPr>
            </w:pPr>
            <w:r>
              <w:rPr>
                <w:rFonts w:ascii="????_GBK" w:eastAsia="Times New Roman"/>
              </w:rPr>
              <w:t>80%以上</w:t>
            </w:r>
          </w:p>
        </w:tc>
        <w:tc>
          <w:tcPr>
            <w:tcW w:w="605" w:type="dxa"/>
            <w:vAlign w:val="center"/>
          </w:tcPr>
          <w:p>
            <w:pPr>
              <w:spacing w:line="300" w:lineRule="exact"/>
              <w:jc w:val="center"/>
              <w:rPr>
                <w:rFonts w:ascii="????_GBK" w:eastAsia="Times New Roman"/>
              </w:rPr>
            </w:pPr>
            <w:r>
              <w:rPr>
                <w:rFonts w:ascii="????_GBK" w:eastAsia="Times New Roman"/>
              </w:rPr>
              <w:t>70%以上</w:t>
            </w:r>
          </w:p>
        </w:tc>
        <w:tc>
          <w:tcPr>
            <w:tcW w:w="1399" w:type="dxa"/>
            <w:vAlign w:val="center"/>
          </w:tcPr>
          <w:p>
            <w:pPr>
              <w:spacing w:line="300" w:lineRule="exact"/>
              <w:jc w:val="center"/>
              <w:rPr>
                <w:rFonts w:ascii="????_GBK" w:eastAsia="Times New Roman"/>
              </w:rPr>
            </w:pPr>
            <w:r>
              <w:rPr>
                <w:rFonts w:ascii="????_GBK" w:eastAsia="Times New Roman"/>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3284" w:hRule="atLeast"/>
          <w:jc w:val="center"/>
        </w:trPr>
        <w:tc>
          <w:tcPr>
            <w:tcW w:w="2360" w:type="dxa"/>
            <w:vAlign w:val="center"/>
          </w:tcPr>
          <w:p>
            <w:pPr>
              <w:spacing w:line="300" w:lineRule="exact"/>
              <w:jc w:val="left"/>
              <w:rPr>
                <w:rFonts w:ascii="????_GBK" w:eastAsia="Times New Roman"/>
                <w:b/>
              </w:rPr>
            </w:pPr>
            <w:r>
              <w:rPr>
                <w:rFonts w:ascii="????_GBK" w:eastAsia="Times New Roman"/>
                <w:b/>
              </w:rPr>
              <w:t>纪检事务管理、机关事务管理</w:t>
            </w:r>
          </w:p>
        </w:tc>
        <w:tc>
          <w:tcPr>
            <w:tcW w:w="915" w:type="dxa"/>
            <w:vAlign w:val="center"/>
          </w:tcPr>
          <w:p>
            <w:pPr>
              <w:spacing w:line="300" w:lineRule="exact"/>
              <w:jc w:val="left"/>
              <w:rPr>
                <w:rFonts w:ascii="????_GBK" w:eastAsia="Times New Roman"/>
              </w:rPr>
            </w:pPr>
            <w:r>
              <w:rPr>
                <w:rFonts w:ascii="????_GBK" w:eastAsia="Times New Roman"/>
              </w:rPr>
              <w:t>19.00</w:t>
            </w:r>
          </w:p>
        </w:tc>
        <w:tc>
          <w:tcPr>
            <w:tcW w:w="3794" w:type="dxa"/>
            <w:vAlign w:val="center"/>
          </w:tcPr>
          <w:p>
            <w:pPr>
              <w:spacing w:line="300" w:lineRule="exact"/>
              <w:jc w:val="left"/>
              <w:rPr>
                <w:rFonts w:ascii="????_GBK" w:eastAsia="Times New Roman"/>
              </w:rPr>
            </w:pPr>
            <w:r>
              <w:rPr>
                <w:rFonts w:ascii="????_GBK" w:eastAsia="Times New Roman"/>
              </w:rPr>
              <w:t>负责在委（局）机关宣传和执行党的路线方针政策和上级党组织的决议，组织党员学习政治理论、法律法规等，推进学习型党组织建设;负责委（局）机关局域网和视频会议系统的建设、运行、维护和管理，负责计算机终端维护、管理和其他技术服务保障工作;及委（局）机关后勤管理和服务工作;</w:t>
            </w:r>
          </w:p>
          <w:p>
            <w:pPr>
              <w:spacing w:line="300" w:lineRule="exact"/>
              <w:jc w:val="left"/>
              <w:rPr>
                <w:rFonts w:ascii="????_GBK" w:eastAsia="Times New Roman"/>
              </w:rPr>
            </w:pPr>
          </w:p>
        </w:tc>
        <w:tc>
          <w:tcPr>
            <w:tcW w:w="1396" w:type="dxa"/>
            <w:vAlign w:val="center"/>
          </w:tcPr>
          <w:p>
            <w:pPr>
              <w:spacing w:line="300" w:lineRule="exact"/>
              <w:jc w:val="left"/>
              <w:rPr>
                <w:rFonts w:ascii="????_GBK" w:eastAsia="Times New Roman"/>
              </w:rPr>
            </w:pPr>
            <w:r>
              <w:rPr>
                <w:rFonts w:ascii="????_GBK" w:eastAsia="Times New Roman"/>
              </w:rPr>
              <w:t>为案件查办、纪检监察业务、党风廉政建设提高服务和保障。</w:t>
            </w:r>
          </w:p>
          <w:p>
            <w:pPr>
              <w:spacing w:line="300" w:lineRule="exact"/>
              <w:jc w:val="left"/>
              <w:rPr>
                <w:rFonts w:ascii="????_GBK" w:eastAsia="Times New Roman"/>
              </w:rPr>
            </w:pPr>
          </w:p>
        </w:tc>
        <w:tc>
          <w:tcPr>
            <w:tcW w:w="1116" w:type="dxa"/>
            <w:vAlign w:val="center"/>
          </w:tcPr>
          <w:p>
            <w:pPr>
              <w:spacing w:line="300" w:lineRule="exact"/>
              <w:jc w:val="left"/>
              <w:rPr>
                <w:rFonts w:ascii="????_GBK" w:eastAsia="Times New Roman"/>
              </w:rPr>
            </w:pPr>
            <w:r>
              <w:rPr>
                <w:rFonts w:ascii="????_GBK" w:eastAsia="Times New Roman"/>
              </w:rPr>
              <w:t>综合事物率</w:t>
            </w:r>
          </w:p>
        </w:tc>
        <w:tc>
          <w:tcPr>
            <w:tcW w:w="656" w:type="dxa"/>
            <w:vAlign w:val="center"/>
          </w:tcPr>
          <w:p>
            <w:pPr>
              <w:spacing w:line="300" w:lineRule="exact"/>
              <w:jc w:val="center"/>
              <w:rPr>
                <w:rFonts w:ascii="????_GBK" w:eastAsia="Times New Roman"/>
              </w:rPr>
            </w:pPr>
            <w:r>
              <w:rPr>
                <w:rFonts w:ascii="????_GBK" w:eastAsia="Times New Roman"/>
              </w:rPr>
              <w:t>90%以上</w:t>
            </w:r>
          </w:p>
        </w:tc>
        <w:tc>
          <w:tcPr>
            <w:tcW w:w="679" w:type="dxa"/>
            <w:vAlign w:val="center"/>
          </w:tcPr>
          <w:p>
            <w:pPr>
              <w:spacing w:line="300" w:lineRule="exact"/>
              <w:jc w:val="center"/>
              <w:rPr>
                <w:rFonts w:ascii="????_GBK" w:eastAsia="Times New Roman"/>
              </w:rPr>
            </w:pPr>
            <w:r>
              <w:rPr>
                <w:rFonts w:ascii="????_GBK" w:eastAsia="Times New Roman"/>
              </w:rPr>
              <w:t>80%以上</w:t>
            </w:r>
          </w:p>
        </w:tc>
        <w:tc>
          <w:tcPr>
            <w:tcW w:w="605" w:type="dxa"/>
            <w:vAlign w:val="center"/>
          </w:tcPr>
          <w:p>
            <w:pPr>
              <w:spacing w:line="300" w:lineRule="exact"/>
              <w:jc w:val="center"/>
              <w:rPr>
                <w:rFonts w:ascii="????_GBK" w:eastAsia="Times New Roman"/>
              </w:rPr>
            </w:pPr>
            <w:r>
              <w:rPr>
                <w:rFonts w:ascii="????_GBK" w:eastAsia="Times New Roman"/>
              </w:rPr>
              <w:t>70%以上</w:t>
            </w:r>
          </w:p>
        </w:tc>
        <w:tc>
          <w:tcPr>
            <w:tcW w:w="1399" w:type="dxa"/>
            <w:vAlign w:val="center"/>
          </w:tcPr>
          <w:p>
            <w:pPr>
              <w:spacing w:line="300" w:lineRule="exact"/>
              <w:jc w:val="center"/>
              <w:rPr>
                <w:rFonts w:ascii="????_GBK" w:eastAsia="Times New Roman"/>
              </w:rPr>
            </w:pPr>
            <w:r>
              <w:rPr>
                <w:rFonts w:ascii="????_GBK" w:eastAsia="Times New Roman"/>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227" w:hRule="atLeast"/>
          <w:jc w:val="center"/>
        </w:trPr>
        <w:tc>
          <w:tcPr>
            <w:tcW w:w="2360" w:type="dxa"/>
            <w:vAlign w:val="center"/>
          </w:tcPr>
          <w:p>
            <w:pPr>
              <w:spacing w:line="300" w:lineRule="exact"/>
              <w:jc w:val="left"/>
              <w:rPr>
                <w:rFonts w:ascii="????_GBK" w:eastAsia="Times New Roman"/>
                <w:b/>
              </w:rPr>
            </w:pPr>
            <w:r>
              <w:rPr>
                <w:rFonts w:ascii="????_GBK" w:eastAsia="Times New Roman"/>
                <w:b/>
              </w:rPr>
              <w:t>　　信息网络管理</w:t>
            </w:r>
          </w:p>
        </w:tc>
        <w:tc>
          <w:tcPr>
            <w:tcW w:w="915" w:type="dxa"/>
            <w:vAlign w:val="center"/>
          </w:tcPr>
          <w:p>
            <w:pPr>
              <w:spacing w:line="300" w:lineRule="exact"/>
              <w:jc w:val="left"/>
              <w:rPr>
                <w:rFonts w:ascii="????_GBK" w:eastAsia="Times New Roman"/>
              </w:rPr>
            </w:pPr>
            <w:r>
              <w:rPr>
                <w:rFonts w:ascii="????_GBK" w:eastAsia="Times New Roman"/>
              </w:rPr>
              <w:t>19.00</w:t>
            </w:r>
          </w:p>
        </w:tc>
        <w:tc>
          <w:tcPr>
            <w:tcW w:w="3794" w:type="dxa"/>
            <w:vAlign w:val="center"/>
          </w:tcPr>
          <w:p>
            <w:pPr>
              <w:spacing w:line="300" w:lineRule="exact"/>
              <w:jc w:val="left"/>
              <w:rPr>
                <w:rFonts w:ascii="????_GBK" w:eastAsia="Times New Roman"/>
              </w:rPr>
            </w:pPr>
            <w:r>
              <w:rPr>
                <w:rFonts w:ascii="????_GBK" w:eastAsia="Times New Roman"/>
              </w:rPr>
              <w:t>负责纪检监察信息化软件及网站的建设,运行和维护以及建设管理全市纪检监察系统惩防体系综合信息平台.</w:t>
            </w:r>
          </w:p>
        </w:tc>
        <w:tc>
          <w:tcPr>
            <w:tcW w:w="1396" w:type="dxa"/>
            <w:vAlign w:val="center"/>
          </w:tcPr>
          <w:p>
            <w:pPr>
              <w:spacing w:line="300" w:lineRule="exact"/>
              <w:jc w:val="left"/>
              <w:rPr>
                <w:rFonts w:ascii="????_GBK" w:eastAsia="Times New Roman"/>
              </w:rPr>
            </w:pPr>
            <w:r>
              <w:rPr>
                <w:rFonts w:ascii="????_GBK" w:eastAsia="Times New Roman"/>
              </w:rPr>
              <w:t>为案件查办、纪检监察业务、党风廉政建设提高服务和保障。</w:t>
            </w:r>
          </w:p>
        </w:tc>
        <w:tc>
          <w:tcPr>
            <w:tcW w:w="1116" w:type="dxa"/>
            <w:vAlign w:val="center"/>
          </w:tcPr>
          <w:p>
            <w:pPr>
              <w:spacing w:line="300" w:lineRule="exact"/>
              <w:jc w:val="left"/>
              <w:rPr>
                <w:rFonts w:ascii="????_GBK" w:eastAsia="Times New Roman"/>
              </w:rPr>
            </w:pPr>
            <w:r>
              <w:rPr>
                <w:rFonts w:ascii="????_GBK" w:eastAsia="Times New Roman"/>
              </w:rPr>
              <w:t>网络畅通率</w:t>
            </w:r>
          </w:p>
        </w:tc>
        <w:tc>
          <w:tcPr>
            <w:tcW w:w="656" w:type="dxa"/>
            <w:vAlign w:val="center"/>
          </w:tcPr>
          <w:p>
            <w:pPr>
              <w:spacing w:line="300" w:lineRule="exact"/>
              <w:jc w:val="center"/>
              <w:rPr>
                <w:rFonts w:ascii="????_GBK" w:eastAsia="Times New Roman"/>
              </w:rPr>
            </w:pPr>
            <w:r>
              <w:rPr>
                <w:rFonts w:ascii="????_GBK" w:eastAsia="Times New Roman"/>
              </w:rPr>
              <w:t>90%以上</w:t>
            </w:r>
          </w:p>
        </w:tc>
        <w:tc>
          <w:tcPr>
            <w:tcW w:w="679" w:type="dxa"/>
            <w:vAlign w:val="center"/>
          </w:tcPr>
          <w:p>
            <w:pPr>
              <w:spacing w:line="300" w:lineRule="exact"/>
              <w:jc w:val="center"/>
              <w:rPr>
                <w:rFonts w:ascii="????_GBK" w:eastAsia="Times New Roman"/>
              </w:rPr>
            </w:pPr>
            <w:r>
              <w:rPr>
                <w:rFonts w:ascii="????_GBK" w:eastAsia="Times New Roman"/>
              </w:rPr>
              <w:t>80%以上</w:t>
            </w:r>
          </w:p>
        </w:tc>
        <w:tc>
          <w:tcPr>
            <w:tcW w:w="605" w:type="dxa"/>
            <w:vAlign w:val="center"/>
          </w:tcPr>
          <w:p>
            <w:pPr>
              <w:spacing w:line="300" w:lineRule="exact"/>
              <w:jc w:val="center"/>
              <w:rPr>
                <w:rFonts w:ascii="????_GBK" w:eastAsia="Times New Roman"/>
              </w:rPr>
            </w:pPr>
            <w:r>
              <w:rPr>
                <w:rFonts w:ascii="????_GBK" w:eastAsia="Times New Roman"/>
              </w:rPr>
              <w:t>70%以上</w:t>
            </w:r>
          </w:p>
        </w:tc>
        <w:tc>
          <w:tcPr>
            <w:tcW w:w="1399" w:type="dxa"/>
            <w:vAlign w:val="center"/>
          </w:tcPr>
          <w:p>
            <w:pPr>
              <w:spacing w:line="300" w:lineRule="exact"/>
              <w:jc w:val="center"/>
              <w:rPr>
                <w:rFonts w:ascii="????_GBK" w:eastAsia="Times New Roman"/>
              </w:rPr>
            </w:pPr>
            <w:r>
              <w:rPr>
                <w:rFonts w:ascii="????_GBK" w:eastAsia="Times New Roman"/>
              </w:rPr>
              <w:t>70%以下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227" w:hRule="atLeast"/>
          <w:jc w:val="center"/>
        </w:trPr>
        <w:tc>
          <w:tcPr>
            <w:tcW w:w="2360" w:type="dxa"/>
            <w:vAlign w:val="center"/>
          </w:tcPr>
          <w:p>
            <w:pPr>
              <w:spacing w:line="300" w:lineRule="exact"/>
              <w:jc w:val="left"/>
              <w:rPr>
                <w:rFonts w:ascii="????_GBK" w:eastAsia="Times New Roman"/>
                <w:b/>
              </w:rPr>
            </w:pPr>
            <w:r>
              <w:rPr>
                <w:rFonts w:ascii="????_GBK" w:eastAsia="Times New Roman"/>
                <w:b/>
              </w:rPr>
              <w:t>　　机关党组织工作</w:t>
            </w:r>
          </w:p>
        </w:tc>
        <w:tc>
          <w:tcPr>
            <w:tcW w:w="915" w:type="dxa"/>
            <w:vAlign w:val="center"/>
          </w:tcPr>
          <w:p>
            <w:pPr>
              <w:spacing w:line="300" w:lineRule="exact"/>
              <w:jc w:val="left"/>
              <w:rPr>
                <w:rFonts w:ascii="????_GBK" w:eastAsia="Times New Roman"/>
              </w:rPr>
            </w:pPr>
          </w:p>
        </w:tc>
        <w:tc>
          <w:tcPr>
            <w:tcW w:w="3794" w:type="dxa"/>
            <w:vAlign w:val="center"/>
          </w:tcPr>
          <w:p>
            <w:pPr>
              <w:spacing w:line="300" w:lineRule="exact"/>
              <w:jc w:val="left"/>
              <w:rPr>
                <w:rFonts w:ascii="????_GBK" w:eastAsia="Times New Roman"/>
              </w:rPr>
            </w:pPr>
            <w:r>
              <w:rPr>
                <w:rFonts w:ascii="????_GBK" w:eastAsia="Times New Roman"/>
              </w:rPr>
              <w:t>负责机关宣传和执行党的路线方针政策组织党员政治理论学习,开展党员思想政治工作</w:t>
            </w:r>
          </w:p>
        </w:tc>
        <w:tc>
          <w:tcPr>
            <w:tcW w:w="1396" w:type="dxa"/>
            <w:vAlign w:val="center"/>
          </w:tcPr>
          <w:p>
            <w:pPr>
              <w:spacing w:line="300" w:lineRule="exact"/>
              <w:jc w:val="left"/>
              <w:rPr>
                <w:rFonts w:ascii="????_GBK" w:eastAsia="Times New Roman"/>
              </w:rPr>
            </w:pPr>
            <w:r>
              <w:rPr>
                <w:rFonts w:ascii="????_GBK" w:eastAsia="Times New Roman"/>
              </w:rPr>
              <w:t>为案件查办、纪检监察业务、党风廉政建设提高服务和保障。</w:t>
            </w:r>
          </w:p>
        </w:tc>
        <w:tc>
          <w:tcPr>
            <w:tcW w:w="1116" w:type="dxa"/>
            <w:vAlign w:val="center"/>
          </w:tcPr>
          <w:p>
            <w:pPr>
              <w:spacing w:line="300" w:lineRule="exact"/>
              <w:jc w:val="left"/>
              <w:rPr>
                <w:rFonts w:ascii="????_GBK" w:eastAsia="Times New Roman"/>
              </w:rPr>
            </w:pPr>
            <w:r>
              <w:rPr>
                <w:rFonts w:ascii="????_GBK" w:eastAsia="Times New Roman"/>
              </w:rPr>
              <w:t>综合事物率</w:t>
            </w:r>
          </w:p>
        </w:tc>
        <w:tc>
          <w:tcPr>
            <w:tcW w:w="656" w:type="dxa"/>
            <w:vAlign w:val="center"/>
          </w:tcPr>
          <w:p>
            <w:pPr>
              <w:spacing w:line="300" w:lineRule="exact"/>
              <w:jc w:val="center"/>
              <w:rPr>
                <w:rFonts w:ascii="????_GBK" w:eastAsia="Times New Roman"/>
              </w:rPr>
            </w:pPr>
            <w:r>
              <w:rPr>
                <w:rFonts w:ascii="????_GBK" w:eastAsia="Times New Roman"/>
              </w:rPr>
              <w:t>90%以上</w:t>
            </w:r>
          </w:p>
        </w:tc>
        <w:tc>
          <w:tcPr>
            <w:tcW w:w="679" w:type="dxa"/>
            <w:vAlign w:val="center"/>
          </w:tcPr>
          <w:p>
            <w:pPr>
              <w:spacing w:line="300" w:lineRule="exact"/>
              <w:jc w:val="center"/>
              <w:rPr>
                <w:rFonts w:ascii="????_GBK" w:eastAsia="Times New Roman"/>
              </w:rPr>
            </w:pPr>
            <w:r>
              <w:rPr>
                <w:rFonts w:ascii="????_GBK" w:eastAsia="Times New Roman"/>
              </w:rPr>
              <w:t>80%以上</w:t>
            </w:r>
          </w:p>
        </w:tc>
        <w:tc>
          <w:tcPr>
            <w:tcW w:w="605" w:type="dxa"/>
            <w:vAlign w:val="center"/>
          </w:tcPr>
          <w:p>
            <w:pPr>
              <w:spacing w:line="300" w:lineRule="exact"/>
              <w:jc w:val="center"/>
              <w:rPr>
                <w:rFonts w:ascii="????_GBK" w:eastAsia="Times New Roman"/>
              </w:rPr>
            </w:pPr>
            <w:r>
              <w:rPr>
                <w:rFonts w:ascii="????_GBK" w:eastAsia="Times New Roman"/>
              </w:rPr>
              <w:t>70%以上</w:t>
            </w:r>
          </w:p>
        </w:tc>
        <w:tc>
          <w:tcPr>
            <w:tcW w:w="1399" w:type="dxa"/>
            <w:vAlign w:val="center"/>
          </w:tcPr>
          <w:p>
            <w:pPr>
              <w:spacing w:line="300" w:lineRule="exact"/>
              <w:jc w:val="center"/>
              <w:rPr>
                <w:rFonts w:ascii="????_GBK" w:eastAsia="Times New Roman"/>
              </w:rPr>
            </w:pPr>
            <w:r>
              <w:rPr>
                <w:rFonts w:ascii="????_GBK" w:eastAsia="Times New Roman"/>
              </w:rPr>
              <w:t>70%以下</w:t>
            </w:r>
          </w:p>
        </w:tc>
      </w:tr>
    </w:tbl>
    <w:p>
      <w:pPr>
        <w:jc w:val="center"/>
        <w:outlineLvl w:val="0"/>
        <w:rPr>
          <w:rFonts w:ascii="方正小标宋_GBK" w:eastAsia="方正小标宋_GBK"/>
          <w:sz w:val="32"/>
        </w:rPr>
      </w:pPr>
    </w:p>
    <w:p>
      <w:pPr>
        <w:autoSpaceDE w:val="0"/>
        <w:autoSpaceDN w:val="0"/>
        <w:adjustRightInd w:val="0"/>
        <w:ind w:left="200" w:firstLine="645"/>
        <w:jc w:val="left"/>
        <w:rPr>
          <w:rFonts w:ascii="仿宋" w:hAnsi="仿宋" w:eastAsia="仿宋" w:cs="仿宋"/>
          <w:kern w:val="0"/>
          <w:sz w:val="32"/>
          <w:szCs w:val="32"/>
          <w:lang w:val="zh-CN"/>
        </w:rPr>
      </w:pPr>
      <w:r>
        <w:rPr>
          <w:rFonts w:ascii="方正小标宋_GBK" w:eastAsia="方正小标宋_GBK"/>
          <w:sz w:val="32"/>
        </w:rPr>
        <w:br w:type="page"/>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六、政府采购预算情况</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2019</w:t>
      </w:r>
      <w:r>
        <w:rPr>
          <w:rFonts w:hint="eastAsia" w:ascii="仿宋_GB2312" w:hAnsi="仿宋" w:eastAsia="仿宋_GB2312"/>
          <w:sz w:val="32"/>
          <w:szCs w:val="32"/>
        </w:rPr>
        <w:t>年，安排政府采购预算</w:t>
      </w:r>
      <w:r>
        <w:rPr>
          <w:rFonts w:ascii="仿宋_GB2312" w:hAnsi="仿宋" w:eastAsia="仿宋_GB2312"/>
          <w:sz w:val="32"/>
          <w:szCs w:val="32"/>
        </w:rPr>
        <w:t>1180</w:t>
      </w:r>
      <w:r>
        <w:rPr>
          <w:rFonts w:hint="eastAsia" w:ascii="仿宋_GB2312" w:hAnsi="仿宋" w:eastAsia="仿宋_GB2312"/>
          <w:sz w:val="32"/>
          <w:szCs w:val="32"/>
        </w:rPr>
        <w:t>万元。具体内容见下表：</w:t>
      </w:r>
    </w:p>
    <w:p>
      <w:pPr>
        <w:jc w:val="center"/>
        <w:outlineLvl w:val="0"/>
        <w:rPr>
          <w:rFonts w:ascii="方正小标宋_GBK" w:eastAsia="方正小标宋_GBK"/>
          <w:sz w:val="32"/>
        </w:rPr>
      </w:pPr>
      <w:bookmarkStart w:id="1" w:name="_Toc475969597"/>
      <w:r>
        <w:rPr>
          <w:rFonts w:hint="eastAsia" w:ascii="方正小标宋_GBK" w:eastAsia="方正小标宋_GBK"/>
          <w:sz w:val="32"/>
        </w:rPr>
        <w:t>部门政府采购预算</w:t>
      </w:r>
      <w:bookmarkEnd w:id="1"/>
    </w:p>
    <w:p>
      <w:pPr>
        <w:spacing w:line="300" w:lineRule="exact"/>
        <w:jc w:val="left"/>
        <w:outlineLvl w:val="0"/>
        <w:rPr>
          <w:color w:val="0000FF"/>
        </w:rPr>
      </w:pPr>
    </w:p>
    <w:tbl>
      <w:tblPr>
        <w:tblStyle w:val="7"/>
        <w:tblW w:w="13148" w:type="dxa"/>
        <w:jc w:val="center"/>
        <w:tblInd w:w="-17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
      <w:tblGrid>
        <w:gridCol w:w="2913"/>
        <w:gridCol w:w="827"/>
        <w:gridCol w:w="601"/>
        <w:gridCol w:w="708"/>
        <w:gridCol w:w="567"/>
        <w:gridCol w:w="714"/>
        <w:gridCol w:w="716"/>
        <w:gridCol w:w="710"/>
        <w:gridCol w:w="714"/>
        <w:gridCol w:w="855"/>
        <w:gridCol w:w="569"/>
        <w:gridCol w:w="567"/>
        <w:gridCol w:w="567"/>
        <w:gridCol w:w="21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blHeader/>
          <w:jc w:val="center"/>
        </w:trPr>
        <w:tc>
          <w:tcPr>
            <w:tcW w:w="7046"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222</w:t>
            </w:r>
            <w:r>
              <w:rPr>
                <w:rFonts w:hint="eastAsia" w:ascii="方正小标宋_GBK" w:eastAsia="方正小标宋_GBK"/>
                <w:sz w:val="24"/>
              </w:rPr>
              <w:t>石家庄市纪律检查委员会</w:t>
            </w:r>
          </w:p>
        </w:tc>
        <w:tc>
          <w:tcPr>
            <w:tcW w:w="6102" w:type="dxa"/>
            <w:gridSpan w:val="7"/>
            <w:tcBorders>
              <w:top w:val="single" w:color="FFFFFF" w:sz="6" w:space="0"/>
              <w:left w:val="single" w:color="FFFFFF" w:sz="6" w:space="0"/>
              <w:right w:val="single" w:color="FFFFFF" w:sz="6" w:space="0"/>
            </w:tcBorders>
            <w:vAlign w:val="center"/>
          </w:tcPr>
          <w:p>
            <w:pPr>
              <w:spacing w:line="300" w:lineRule="exact"/>
              <w:jc w:val="right"/>
              <w:rPr>
                <w:rFonts w:ascii="????_GBK" w:eastAsia="Times New Roman"/>
                <w:sz w:val="24"/>
              </w:rPr>
            </w:pPr>
            <w:r>
              <w:rPr>
                <w:rFonts w:ascii="????_GBK" w:eastAsia="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blHeader/>
          <w:jc w:val="center"/>
        </w:trPr>
        <w:tc>
          <w:tcPr>
            <w:tcW w:w="3740" w:type="dxa"/>
            <w:gridSpan w:val="2"/>
            <w:vAlign w:val="center"/>
          </w:tcPr>
          <w:p>
            <w:pPr>
              <w:spacing w:line="300" w:lineRule="exact"/>
              <w:jc w:val="center"/>
              <w:rPr>
                <w:rFonts w:ascii="????_GBK" w:eastAsia="Times New Roman"/>
                <w:b/>
              </w:rPr>
            </w:pPr>
            <w:r>
              <w:rPr>
                <w:rFonts w:ascii="????_GBK" w:eastAsia="Times New Roman"/>
                <w:b/>
              </w:rPr>
              <w:t>政府采购</w:t>
            </w:r>
          </w:p>
          <w:p>
            <w:pPr>
              <w:spacing w:line="300" w:lineRule="exact"/>
              <w:jc w:val="center"/>
              <w:rPr>
                <w:rFonts w:ascii="????_GBK" w:eastAsia="Times New Roman"/>
                <w:b/>
              </w:rPr>
            </w:pPr>
            <w:r>
              <w:rPr>
                <w:rFonts w:ascii="????_GBK" w:eastAsia="Times New Roman"/>
                <w:b/>
              </w:rPr>
              <w:t>项目来源</w:t>
            </w:r>
          </w:p>
        </w:tc>
        <w:tc>
          <w:tcPr>
            <w:tcW w:w="601" w:type="dxa"/>
            <w:vMerge w:val="restart"/>
            <w:vAlign w:val="center"/>
          </w:tcPr>
          <w:p>
            <w:pPr>
              <w:spacing w:line="300" w:lineRule="exact"/>
              <w:jc w:val="center"/>
              <w:rPr>
                <w:rFonts w:ascii="????_GBK" w:eastAsia="Times New Roman"/>
                <w:b/>
              </w:rPr>
            </w:pPr>
            <w:r>
              <w:rPr>
                <w:rFonts w:ascii="????_GBK" w:eastAsia="Times New Roman"/>
                <w:b/>
              </w:rPr>
              <w:t>采购物品名称</w:t>
            </w:r>
          </w:p>
        </w:tc>
        <w:tc>
          <w:tcPr>
            <w:tcW w:w="708" w:type="dxa"/>
            <w:vMerge w:val="restart"/>
            <w:vAlign w:val="center"/>
          </w:tcPr>
          <w:p>
            <w:pPr>
              <w:spacing w:line="300" w:lineRule="exact"/>
              <w:jc w:val="center"/>
              <w:rPr>
                <w:rFonts w:ascii="????_GBK" w:eastAsia="Times New Roman"/>
                <w:b/>
              </w:rPr>
            </w:pPr>
            <w:r>
              <w:rPr>
                <w:rFonts w:ascii="????_GBK" w:eastAsia="Times New Roman"/>
                <w:b/>
              </w:rPr>
              <w:t>政府采购目录序号</w:t>
            </w:r>
          </w:p>
        </w:tc>
        <w:tc>
          <w:tcPr>
            <w:tcW w:w="567" w:type="dxa"/>
            <w:vMerge w:val="restart"/>
            <w:vAlign w:val="center"/>
          </w:tcPr>
          <w:p>
            <w:pPr>
              <w:spacing w:line="300" w:lineRule="exact"/>
              <w:jc w:val="center"/>
              <w:rPr>
                <w:rFonts w:ascii="????_GBK" w:eastAsia="Times New Roman"/>
                <w:b/>
              </w:rPr>
            </w:pPr>
            <w:r>
              <w:rPr>
                <w:rFonts w:ascii="????_GBK" w:eastAsia="Times New Roman"/>
                <w:b/>
              </w:rPr>
              <w:t>数量  单位</w:t>
            </w:r>
          </w:p>
        </w:tc>
        <w:tc>
          <w:tcPr>
            <w:tcW w:w="714" w:type="dxa"/>
            <w:vMerge w:val="restart"/>
            <w:vAlign w:val="center"/>
          </w:tcPr>
          <w:p>
            <w:pPr>
              <w:spacing w:line="300" w:lineRule="exact"/>
              <w:jc w:val="center"/>
              <w:rPr>
                <w:rFonts w:ascii="????_GBK" w:eastAsia="Times New Roman"/>
                <w:b/>
              </w:rPr>
            </w:pPr>
            <w:r>
              <w:rPr>
                <w:rFonts w:ascii="????_GBK" w:eastAsia="Times New Roman"/>
                <w:b/>
              </w:rPr>
              <w:t>数量</w:t>
            </w:r>
          </w:p>
        </w:tc>
        <w:tc>
          <w:tcPr>
            <w:tcW w:w="716" w:type="dxa"/>
            <w:vMerge w:val="restart"/>
            <w:vAlign w:val="center"/>
          </w:tcPr>
          <w:p>
            <w:pPr>
              <w:spacing w:line="300" w:lineRule="exact"/>
              <w:jc w:val="center"/>
              <w:rPr>
                <w:rFonts w:ascii="????_GBK" w:eastAsia="Times New Roman"/>
                <w:b/>
              </w:rPr>
            </w:pPr>
            <w:r>
              <w:rPr>
                <w:rFonts w:ascii="????_GBK" w:eastAsia="Times New Roman"/>
                <w:b/>
              </w:rPr>
              <w:t>单价</w:t>
            </w:r>
          </w:p>
        </w:tc>
        <w:tc>
          <w:tcPr>
            <w:tcW w:w="6102" w:type="dxa"/>
            <w:gridSpan w:val="7"/>
            <w:vAlign w:val="center"/>
          </w:tcPr>
          <w:p>
            <w:pPr>
              <w:spacing w:line="300" w:lineRule="exact"/>
              <w:jc w:val="center"/>
              <w:rPr>
                <w:rFonts w:ascii="????_GBK" w:eastAsia="Times New Roman"/>
                <w:b/>
              </w:rPr>
            </w:pPr>
            <w:r>
              <w:rPr>
                <w:rFonts w:ascii="????_GBK" w:eastAsia="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blHeader/>
          <w:jc w:val="center"/>
        </w:trPr>
        <w:tc>
          <w:tcPr>
            <w:tcW w:w="2913" w:type="dxa"/>
            <w:vMerge w:val="restart"/>
            <w:vAlign w:val="center"/>
          </w:tcPr>
          <w:p>
            <w:pPr>
              <w:spacing w:line="300" w:lineRule="exact"/>
              <w:jc w:val="center"/>
              <w:rPr>
                <w:rFonts w:ascii="????_GBK" w:eastAsia="Times New Roman"/>
                <w:b/>
              </w:rPr>
            </w:pPr>
            <w:r>
              <w:rPr>
                <w:rFonts w:ascii="????_GBK" w:eastAsia="Times New Roman"/>
                <w:b/>
              </w:rPr>
              <w:t>项目名称</w:t>
            </w:r>
          </w:p>
        </w:tc>
        <w:tc>
          <w:tcPr>
            <w:tcW w:w="827" w:type="dxa"/>
            <w:vMerge w:val="restart"/>
            <w:vAlign w:val="center"/>
          </w:tcPr>
          <w:p>
            <w:pPr>
              <w:spacing w:line="300" w:lineRule="exact"/>
              <w:jc w:val="center"/>
              <w:rPr>
                <w:rFonts w:ascii="????_GBK" w:eastAsia="Times New Roman"/>
                <w:b/>
              </w:rPr>
            </w:pPr>
            <w:r>
              <w:rPr>
                <w:rFonts w:ascii="????_GBK" w:eastAsia="Times New Roman"/>
                <w:b/>
              </w:rPr>
              <w:t>预算</w:t>
            </w:r>
          </w:p>
          <w:p>
            <w:pPr>
              <w:spacing w:line="300" w:lineRule="exact"/>
              <w:jc w:val="center"/>
              <w:rPr>
                <w:rFonts w:ascii="????_GBK" w:eastAsia="Times New Roman"/>
                <w:b/>
              </w:rPr>
            </w:pPr>
            <w:r>
              <w:rPr>
                <w:rFonts w:ascii="????_GBK" w:eastAsia="Times New Roman"/>
                <w:b/>
              </w:rPr>
              <w:t>资金</w:t>
            </w:r>
          </w:p>
        </w:tc>
        <w:tc>
          <w:tcPr>
            <w:tcW w:w="601" w:type="dxa"/>
            <w:vMerge w:val="continue"/>
            <w:vAlign w:val="center"/>
          </w:tcPr>
          <w:p>
            <w:pPr>
              <w:spacing w:line="300" w:lineRule="exact"/>
              <w:jc w:val="left"/>
              <w:outlineLvl w:val="0"/>
            </w:pPr>
          </w:p>
        </w:tc>
        <w:tc>
          <w:tcPr>
            <w:tcW w:w="708" w:type="dxa"/>
            <w:vMerge w:val="continue"/>
            <w:vAlign w:val="center"/>
          </w:tcPr>
          <w:p>
            <w:pPr>
              <w:spacing w:line="300" w:lineRule="exact"/>
              <w:jc w:val="left"/>
              <w:outlineLvl w:val="0"/>
            </w:pPr>
          </w:p>
        </w:tc>
        <w:tc>
          <w:tcPr>
            <w:tcW w:w="567" w:type="dxa"/>
            <w:vMerge w:val="continue"/>
            <w:vAlign w:val="center"/>
          </w:tcPr>
          <w:p>
            <w:pPr>
              <w:spacing w:line="300" w:lineRule="exact"/>
              <w:jc w:val="left"/>
              <w:outlineLvl w:val="0"/>
            </w:pPr>
          </w:p>
        </w:tc>
        <w:tc>
          <w:tcPr>
            <w:tcW w:w="714" w:type="dxa"/>
            <w:vMerge w:val="continue"/>
            <w:vAlign w:val="center"/>
          </w:tcPr>
          <w:p>
            <w:pPr>
              <w:spacing w:line="300" w:lineRule="exact"/>
              <w:jc w:val="left"/>
              <w:outlineLvl w:val="0"/>
            </w:pPr>
          </w:p>
        </w:tc>
        <w:tc>
          <w:tcPr>
            <w:tcW w:w="716" w:type="dxa"/>
            <w:vMerge w:val="continue"/>
            <w:vAlign w:val="center"/>
          </w:tcPr>
          <w:p>
            <w:pPr>
              <w:spacing w:line="300" w:lineRule="exact"/>
              <w:jc w:val="left"/>
              <w:outlineLvl w:val="0"/>
            </w:pPr>
          </w:p>
        </w:tc>
        <w:tc>
          <w:tcPr>
            <w:tcW w:w="710" w:type="dxa"/>
            <w:vMerge w:val="restart"/>
            <w:vAlign w:val="center"/>
          </w:tcPr>
          <w:p>
            <w:pPr>
              <w:spacing w:line="300" w:lineRule="exact"/>
              <w:jc w:val="center"/>
              <w:rPr>
                <w:rFonts w:ascii="????_GBK" w:eastAsia="Times New Roman"/>
                <w:b/>
              </w:rPr>
            </w:pPr>
            <w:r>
              <w:rPr>
                <w:rFonts w:ascii="????_GBK" w:eastAsia="Times New Roman"/>
                <w:b/>
              </w:rPr>
              <w:t>总计</w:t>
            </w:r>
          </w:p>
        </w:tc>
        <w:tc>
          <w:tcPr>
            <w:tcW w:w="3272" w:type="dxa"/>
            <w:gridSpan w:val="5"/>
            <w:vAlign w:val="center"/>
          </w:tcPr>
          <w:p>
            <w:pPr>
              <w:spacing w:line="300" w:lineRule="exact"/>
              <w:jc w:val="center"/>
              <w:rPr>
                <w:rFonts w:ascii="????_GBK" w:eastAsia="Times New Roman"/>
                <w:b/>
              </w:rPr>
            </w:pPr>
            <w:r>
              <w:rPr>
                <w:rFonts w:ascii="????_GBK" w:eastAsia="Times New Roman"/>
                <w:b/>
              </w:rPr>
              <w:t>当年部门预算安排资金</w:t>
            </w:r>
          </w:p>
        </w:tc>
        <w:tc>
          <w:tcPr>
            <w:tcW w:w="2120" w:type="dxa"/>
            <w:vMerge w:val="restart"/>
            <w:vAlign w:val="center"/>
          </w:tcPr>
          <w:p>
            <w:pPr>
              <w:spacing w:line="300" w:lineRule="exact"/>
              <w:jc w:val="center"/>
              <w:rPr>
                <w:rFonts w:ascii="????_GBK" w:eastAsia="Times New Roman"/>
                <w:b/>
              </w:rPr>
            </w:pPr>
            <w:r>
              <w:rPr>
                <w:rFonts w:ascii="????_GBK" w:eastAsia="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blHeader/>
          <w:jc w:val="center"/>
        </w:trPr>
        <w:tc>
          <w:tcPr>
            <w:tcW w:w="2913" w:type="dxa"/>
            <w:vMerge w:val="continue"/>
            <w:vAlign w:val="center"/>
          </w:tcPr>
          <w:p>
            <w:pPr>
              <w:spacing w:line="300" w:lineRule="exact"/>
              <w:jc w:val="left"/>
              <w:outlineLvl w:val="0"/>
            </w:pPr>
          </w:p>
        </w:tc>
        <w:tc>
          <w:tcPr>
            <w:tcW w:w="827" w:type="dxa"/>
            <w:vMerge w:val="continue"/>
            <w:vAlign w:val="center"/>
          </w:tcPr>
          <w:p>
            <w:pPr>
              <w:spacing w:line="300" w:lineRule="exact"/>
              <w:jc w:val="left"/>
              <w:outlineLvl w:val="0"/>
            </w:pPr>
          </w:p>
        </w:tc>
        <w:tc>
          <w:tcPr>
            <w:tcW w:w="601" w:type="dxa"/>
            <w:vMerge w:val="continue"/>
            <w:vAlign w:val="center"/>
          </w:tcPr>
          <w:p>
            <w:pPr>
              <w:spacing w:line="300" w:lineRule="exact"/>
              <w:jc w:val="left"/>
              <w:outlineLvl w:val="0"/>
            </w:pPr>
          </w:p>
        </w:tc>
        <w:tc>
          <w:tcPr>
            <w:tcW w:w="708" w:type="dxa"/>
            <w:vMerge w:val="continue"/>
            <w:vAlign w:val="center"/>
          </w:tcPr>
          <w:p>
            <w:pPr>
              <w:spacing w:line="300" w:lineRule="exact"/>
              <w:jc w:val="left"/>
              <w:outlineLvl w:val="0"/>
            </w:pPr>
          </w:p>
        </w:tc>
        <w:tc>
          <w:tcPr>
            <w:tcW w:w="567" w:type="dxa"/>
            <w:vMerge w:val="continue"/>
            <w:vAlign w:val="center"/>
          </w:tcPr>
          <w:p>
            <w:pPr>
              <w:spacing w:line="300" w:lineRule="exact"/>
              <w:jc w:val="left"/>
              <w:outlineLvl w:val="0"/>
            </w:pPr>
          </w:p>
        </w:tc>
        <w:tc>
          <w:tcPr>
            <w:tcW w:w="714" w:type="dxa"/>
            <w:vMerge w:val="continue"/>
            <w:vAlign w:val="center"/>
          </w:tcPr>
          <w:p>
            <w:pPr>
              <w:spacing w:line="300" w:lineRule="exact"/>
              <w:jc w:val="left"/>
              <w:outlineLvl w:val="0"/>
            </w:pPr>
          </w:p>
        </w:tc>
        <w:tc>
          <w:tcPr>
            <w:tcW w:w="716" w:type="dxa"/>
            <w:vMerge w:val="continue"/>
            <w:vAlign w:val="center"/>
          </w:tcPr>
          <w:p>
            <w:pPr>
              <w:spacing w:line="300" w:lineRule="exact"/>
              <w:jc w:val="left"/>
              <w:outlineLvl w:val="0"/>
            </w:pPr>
          </w:p>
        </w:tc>
        <w:tc>
          <w:tcPr>
            <w:tcW w:w="710" w:type="dxa"/>
            <w:vMerge w:val="continue"/>
            <w:vAlign w:val="center"/>
          </w:tcPr>
          <w:p>
            <w:pPr>
              <w:spacing w:line="300" w:lineRule="exact"/>
              <w:jc w:val="left"/>
              <w:outlineLvl w:val="0"/>
            </w:pPr>
          </w:p>
        </w:tc>
        <w:tc>
          <w:tcPr>
            <w:tcW w:w="714" w:type="dxa"/>
            <w:vAlign w:val="center"/>
          </w:tcPr>
          <w:p>
            <w:pPr>
              <w:spacing w:line="300" w:lineRule="exact"/>
              <w:jc w:val="center"/>
              <w:rPr>
                <w:rFonts w:ascii="????_GBK" w:eastAsia="Times New Roman"/>
                <w:b/>
              </w:rPr>
            </w:pPr>
            <w:r>
              <w:rPr>
                <w:rFonts w:ascii="????_GBK" w:eastAsia="Times New Roman"/>
                <w:b/>
              </w:rPr>
              <w:t>合计</w:t>
            </w:r>
          </w:p>
        </w:tc>
        <w:tc>
          <w:tcPr>
            <w:tcW w:w="855" w:type="dxa"/>
            <w:vAlign w:val="center"/>
          </w:tcPr>
          <w:p>
            <w:pPr>
              <w:spacing w:line="300" w:lineRule="exact"/>
              <w:jc w:val="center"/>
              <w:rPr>
                <w:rFonts w:ascii="????_GBK" w:eastAsia="Times New Roman"/>
                <w:b/>
              </w:rPr>
            </w:pPr>
            <w:r>
              <w:rPr>
                <w:rFonts w:ascii="????_GBK" w:eastAsia="Times New Roman"/>
                <w:b/>
              </w:rPr>
              <w:t>一般公共预算拨款</w:t>
            </w:r>
          </w:p>
        </w:tc>
        <w:tc>
          <w:tcPr>
            <w:tcW w:w="569" w:type="dxa"/>
            <w:vAlign w:val="center"/>
          </w:tcPr>
          <w:p>
            <w:pPr>
              <w:spacing w:line="300" w:lineRule="exact"/>
              <w:jc w:val="center"/>
              <w:rPr>
                <w:rFonts w:ascii="????_GBK" w:eastAsia="Times New Roman"/>
                <w:b/>
              </w:rPr>
            </w:pPr>
            <w:r>
              <w:rPr>
                <w:rFonts w:ascii="????_GBK" w:eastAsia="Times New Roman"/>
                <w:b/>
              </w:rPr>
              <w:t>基金预算拨款</w:t>
            </w:r>
          </w:p>
        </w:tc>
        <w:tc>
          <w:tcPr>
            <w:tcW w:w="567" w:type="dxa"/>
            <w:vAlign w:val="center"/>
          </w:tcPr>
          <w:p>
            <w:pPr>
              <w:spacing w:line="300" w:lineRule="exact"/>
              <w:jc w:val="center"/>
              <w:rPr>
                <w:rFonts w:ascii="????_GBK" w:eastAsia="Times New Roman"/>
                <w:b/>
              </w:rPr>
            </w:pPr>
            <w:r>
              <w:rPr>
                <w:rFonts w:ascii="????_GBK" w:eastAsia="Times New Roman"/>
                <w:b/>
              </w:rPr>
              <w:t>财政专户核拨</w:t>
            </w:r>
          </w:p>
        </w:tc>
        <w:tc>
          <w:tcPr>
            <w:tcW w:w="567" w:type="dxa"/>
            <w:vAlign w:val="center"/>
          </w:tcPr>
          <w:p>
            <w:pPr>
              <w:spacing w:line="300" w:lineRule="exact"/>
              <w:jc w:val="center"/>
              <w:rPr>
                <w:rFonts w:ascii="????_GBK" w:eastAsia="Times New Roman"/>
                <w:b/>
              </w:rPr>
            </w:pPr>
            <w:r>
              <w:rPr>
                <w:rFonts w:ascii="????_GBK" w:eastAsia="Times New Roman"/>
                <w:b/>
              </w:rPr>
              <w:t>其他来源收入</w:t>
            </w:r>
          </w:p>
        </w:tc>
        <w:tc>
          <w:tcPr>
            <w:tcW w:w="2120"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jc w:val="center"/>
        </w:trPr>
        <w:tc>
          <w:tcPr>
            <w:tcW w:w="2913" w:type="dxa"/>
            <w:vAlign w:val="center"/>
          </w:tcPr>
          <w:p>
            <w:pPr>
              <w:spacing w:line="300" w:lineRule="exact"/>
              <w:jc w:val="center"/>
              <w:rPr>
                <w:rFonts w:ascii="????_GBK" w:eastAsia="Times New Roman"/>
                <w:b/>
              </w:rPr>
            </w:pPr>
            <w:r>
              <w:rPr>
                <w:rFonts w:ascii="????_GBK" w:eastAsia="Times New Roman"/>
                <w:b/>
              </w:rPr>
              <w:t>合　计</w:t>
            </w:r>
          </w:p>
        </w:tc>
        <w:tc>
          <w:tcPr>
            <w:tcW w:w="827" w:type="dxa"/>
            <w:vAlign w:val="center"/>
          </w:tcPr>
          <w:p>
            <w:pPr>
              <w:spacing w:line="300" w:lineRule="exact"/>
              <w:jc w:val="right"/>
              <w:rPr>
                <w:rFonts w:ascii="????_GBK" w:eastAsia="Times New Roman"/>
                <w:b/>
              </w:rPr>
            </w:pPr>
          </w:p>
        </w:tc>
        <w:tc>
          <w:tcPr>
            <w:tcW w:w="601" w:type="dxa"/>
            <w:vAlign w:val="center"/>
          </w:tcPr>
          <w:p>
            <w:pPr>
              <w:spacing w:line="300" w:lineRule="exact"/>
              <w:jc w:val="left"/>
              <w:rPr>
                <w:rFonts w:ascii="????_GBK" w:eastAsia="Times New Roman"/>
                <w:b/>
              </w:rPr>
            </w:pPr>
          </w:p>
        </w:tc>
        <w:tc>
          <w:tcPr>
            <w:tcW w:w="708" w:type="dxa"/>
            <w:vAlign w:val="center"/>
          </w:tcPr>
          <w:p>
            <w:pPr>
              <w:spacing w:line="300" w:lineRule="exact"/>
              <w:jc w:val="left"/>
              <w:rPr>
                <w:rFonts w:ascii="????_GBK" w:eastAsia="Times New Roman"/>
                <w:b/>
              </w:rPr>
            </w:pPr>
          </w:p>
        </w:tc>
        <w:tc>
          <w:tcPr>
            <w:tcW w:w="567" w:type="dxa"/>
            <w:vAlign w:val="center"/>
          </w:tcPr>
          <w:p>
            <w:pPr>
              <w:spacing w:line="300" w:lineRule="exact"/>
              <w:jc w:val="left"/>
              <w:rPr>
                <w:rFonts w:ascii="????_GBK" w:eastAsia="Times New Roman"/>
                <w:b/>
              </w:rPr>
            </w:pPr>
          </w:p>
        </w:tc>
        <w:tc>
          <w:tcPr>
            <w:tcW w:w="714" w:type="dxa"/>
            <w:vAlign w:val="center"/>
          </w:tcPr>
          <w:p>
            <w:pPr>
              <w:spacing w:line="300" w:lineRule="exact"/>
              <w:jc w:val="right"/>
              <w:rPr>
                <w:rFonts w:ascii="????_GBK" w:eastAsia="Times New Roman"/>
                <w:b/>
              </w:rPr>
            </w:pPr>
          </w:p>
        </w:tc>
        <w:tc>
          <w:tcPr>
            <w:tcW w:w="716" w:type="dxa"/>
            <w:vAlign w:val="center"/>
          </w:tcPr>
          <w:p>
            <w:pPr>
              <w:spacing w:line="300" w:lineRule="exact"/>
              <w:jc w:val="right"/>
              <w:rPr>
                <w:rFonts w:ascii="????_GBK" w:eastAsia="Times New Roman"/>
                <w:b/>
              </w:rPr>
            </w:pPr>
          </w:p>
        </w:tc>
        <w:tc>
          <w:tcPr>
            <w:tcW w:w="710" w:type="dxa"/>
            <w:vAlign w:val="center"/>
          </w:tcPr>
          <w:p>
            <w:pPr>
              <w:spacing w:line="300" w:lineRule="exact"/>
              <w:jc w:val="right"/>
              <w:rPr>
                <w:rFonts w:ascii="????_GBK"/>
                <w:b/>
              </w:rPr>
            </w:pPr>
            <w:r>
              <w:rPr>
                <w:rFonts w:ascii="????_GBK"/>
                <w:b/>
              </w:rPr>
              <w:t>1180</w:t>
            </w:r>
          </w:p>
        </w:tc>
        <w:tc>
          <w:tcPr>
            <w:tcW w:w="714" w:type="dxa"/>
            <w:vAlign w:val="center"/>
          </w:tcPr>
          <w:p>
            <w:pPr>
              <w:spacing w:line="300" w:lineRule="exact"/>
              <w:jc w:val="right"/>
              <w:rPr>
                <w:rFonts w:ascii="????_GBK"/>
                <w:b/>
              </w:rPr>
            </w:pPr>
            <w:r>
              <w:rPr>
                <w:rFonts w:ascii="????_GBK"/>
                <w:b/>
              </w:rPr>
              <w:t>1180</w:t>
            </w:r>
          </w:p>
        </w:tc>
        <w:tc>
          <w:tcPr>
            <w:tcW w:w="855" w:type="dxa"/>
            <w:vAlign w:val="center"/>
          </w:tcPr>
          <w:p>
            <w:pPr>
              <w:spacing w:line="300" w:lineRule="exact"/>
              <w:jc w:val="right"/>
              <w:rPr>
                <w:rFonts w:ascii="????_GBK"/>
                <w:b/>
              </w:rPr>
            </w:pPr>
            <w:r>
              <w:rPr>
                <w:rFonts w:ascii="????_GBK"/>
                <w:b/>
              </w:rPr>
              <w:t>1180</w:t>
            </w:r>
          </w:p>
        </w:tc>
        <w:tc>
          <w:tcPr>
            <w:tcW w:w="569" w:type="dxa"/>
            <w:vAlign w:val="center"/>
          </w:tcPr>
          <w:p>
            <w:pPr>
              <w:spacing w:line="300" w:lineRule="exact"/>
              <w:jc w:val="right"/>
              <w:rPr>
                <w:rFonts w:ascii="????_GBK" w:eastAsia="Times New Roman"/>
                <w:b/>
              </w:rPr>
            </w:pPr>
          </w:p>
        </w:tc>
        <w:tc>
          <w:tcPr>
            <w:tcW w:w="567" w:type="dxa"/>
            <w:vAlign w:val="center"/>
          </w:tcPr>
          <w:p>
            <w:pPr>
              <w:spacing w:line="300" w:lineRule="exact"/>
              <w:jc w:val="right"/>
              <w:rPr>
                <w:rFonts w:ascii="????_GBK" w:eastAsia="Times New Roman"/>
                <w:b/>
              </w:rPr>
            </w:pPr>
          </w:p>
        </w:tc>
        <w:tc>
          <w:tcPr>
            <w:tcW w:w="567" w:type="dxa"/>
            <w:vAlign w:val="center"/>
          </w:tcPr>
          <w:p>
            <w:pPr>
              <w:spacing w:line="300" w:lineRule="exact"/>
              <w:jc w:val="right"/>
              <w:rPr>
                <w:rFonts w:ascii="????_GBK" w:eastAsia="Times New Roman"/>
                <w:b/>
              </w:rPr>
            </w:pPr>
          </w:p>
        </w:tc>
        <w:tc>
          <w:tcPr>
            <w:tcW w:w="2120"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jc w:val="center"/>
        </w:trPr>
        <w:tc>
          <w:tcPr>
            <w:tcW w:w="2913" w:type="dxa"/>
            <w:vAlign w:val="center"/>
          </w:tcPr>
          <w:p>
            <w:pPr>
              <w:spacing w:line="300" w:lineRule="exact"/>
              <w:jc w:val="center"/>
              <w:rPr>
                <w:rFonts w:ascii="????_GBK" w:eastAsia="Times New Roman"/>
                <w:b/>
              </w:rPr>
            </w:pPr>
            <w:r>
              <w:rPr>
                <w:rFonts w:ascii="????_GBK" w:eastAsia="Times New Roman"/>
                <w:b/>
              </w:rPr>
              <w:t>中国共产党石家庄市纪律检查委员会小计</w:t>
            </w:r>
          </w:p>
        </w:tc>
        <w:tc>
          <w:tcPr>
            <w:tcW w:w="827" w:type="dxa"/>
            <w:vAlign w:val="center"/>
          </w:tcPr>
          <w:p>
            <w:pPr>
              <w:spacing w:line="300" w:lineRule="exact"/>
              <w:jc w:val="right"/>
              <w:rPr>
                <w:rFonts w:ascii="????_GBK" w:eastAsia="Times New Roman"/>
                <w:b/>
              </w:rPr>
            </w:pPr>
          </w:p>
        </w:tc>
        <w:tc>
          <w:tcPr>
            <w:tcW w:w="601" w:type="dxa"/>
            <w:vAlign w:val="center"/>
          </w:tcPr>
          <w:p>
            <w:pPr>
              <w:spacing w:line="300" w:lineRule="exact"/>
              <w:jc w:val="left"/>
              <w:rPr>
                <w:rFonts w:ascii="????_GBK" w:eastAsia="Times New Roman"/>
                <w:b/>
              </w:rPr>
            </w:pPr>
          </w:p>
        </w:tc>
        <w:tc>
          <w:tcPr>
            <w:tcW w:w="708" w:type="dxa"/>
            <w:vAlign w:val="center"/>
          </w:tcPr>
          <w:p>
            <w:pPr>
              <w:spacing w:line="300" w:lineRule="exact"/>
              <w:jc w:val="left"/>
              <w:rPr>
                <w:rFonts w:ascii="????_GBK" w:eastAsia="Times New Roman"/>
                <w:b/>
              </w:rPr>
            </w:pPr>
          </w:p>
        </w:tc>
        <w:tc>
          <w:tcPr>
            <w:tcW w:w="567" w:type="dxa"/>
            <w:vAlign w:val="center"/>
          </w:tcPr>
          <w:p>
            <w:pPr>
              <w:spacing w:line="300" w:lineRule="exact"/>
              <w:jc w:val="left"/>
              <w:rPr>
                <w:rFonts w:ascii="????_GBK" w:eastAsia="Times New Roman"/>
                <w:b/>
              </w:rPr>
            </w:pPr>
          </w:p>
        </w:tc>
        <w:tc>
          <w:tcPr>
            <w:tcW w:w="714" w:type="dxa"/>
            <w:vAlign w:val="center"/>
          </w:tcPr>
          <w:p>
            <w:pPr>
              <w:spacing w:line="300" w:lineRule="exact"/>
              <w:jc w:val="right"/>
              <w:rPr>
                <w:rFonts w:ascii="????_GBK" w:eastAsia="Times New Roman"/>
                <w:b/>
              </w:rPr>
            </w:pPr>
          </w:p>
        </w:tc>
        <w:tc>
          <w:tcPr>
            <w:tcW w:w="716" w:type="dxa"/>
            <w:vAlign w:val="center"/>
          </w:tcPr>
          <w:p>
            <w:pPr>
              <w:spacing w:line="300" w:lineRule="exact"/>
              <w:jc w:val="right"/>
              <w:rPr>
                <w:rFonts w:ascii="????_GBK" w:eastAsia="Times New Roman"/>
                <w:b/>
              </w:rPr>
            </w:pPr>
          </w:p>
        </w:tc>
        <w:tc>
          <w:tcPr>
            <w:tcW w:w="710" w:type="dxa"/>
            <w:vAlign w:val="center"/>
          </w:tcPr>
          <w:p>
            <w:pPr>
              <w:spacing w:line="300" w:lineRule="exact"/>
              <w:jc w:val="right"/>
              <w:rPr>
                <w:rFonts w:ascii="????_GBK" w:eastAsia="Times New Roman"/>
                <w:b/>
              </w:rPr>
            </w:pPr>
            <w:r>
              <w:rPr>
                <w:rFonts w:ascii="????_GBK"/>
                <w:b/>
              </w:rPr>
              <w:t>1180</w:t>
            </w:r>
          </w:p>
        </w:tc>
        <w:tc>
          <w:tcPr>
            <w:tcW w:w="714" w:type="dxa"/>
            <w:vAlign w:val="center"/>
          </w:tcPr>
          <w:p>
            <w:pPr>
              <w:spacing w:line="300" w:lineRule="exact"/>
              <w:jc w:val="right"/>
              <w:rPr>
                <w:rFonts w:ascii="????_GBK"/>
                <w:b/>
              </w:rPr>
            </w:pPr>
            <w:r>
              <w:rPr>
                <w:rFonts w:ascii="????_GBK"/>
                <w:b/>
              </w:rPr>
              <w:t>1180</w:t>
            </w:r>
          </w:p>
        </w:tc>
        <w:tc>
          <w:tcPr>
            <w:tcW w:w="855" w:type="dxa"/>
            <w:vAlign w:val="center"/>
          </w:tcPr>
          <w:p>
            <w:pPr>
              <w:spacing w:line="300" w:lineRule="exact"/>
              <w:jc w:val="right"/>
              <w:rPr>
                <w:rFonts w:ascii="????_GBK"/>
                <w:b/>
              </w:rPr>
            </w:pPr>
            <w:r>
              <w:rPr>
                <w:rFonts w:ascii="????_GBK"/>
                <w:b/>
              </w:rPr>
              <w:t>1180</w:t>
            </w:r>
          </w:p>
        </w:tc>
        <w:tc>
          <w:tcPr>
            <w:tcW w:w="569" w:type="dxa"/>
            <w:vAlign w:val="center"/>
          </w:tcPr>
          <w:p>
            <w:pPr>
              <w:spacing w:line="300" w:lineRule="exact"/>
              <w:jc w:val="right"/>
              <w:rPr>
                <w:rFonts w:ascii="????_GBK" w:eastAsia="Times New Roman"/>
                <w:b/>
              </w:rPr>
            </w:pPr>
          </w:p>
        </w:tc>
        <w:tc>
          <w:tcPr>
            <w:tcW w:w="567" w:type="dxa"/>
            <w:vAlign w:val="center"/>
          </w:tcPr>
          <w:p>
            <w:pPr>
              <w:spacing w:line="300" w:lineRule="exact"/>
              <w:jc w:val="right"/>
              <w:rPr>
                <w:rFonts w:ascii="????_GBK" w:eastAsia="Times New Roman"/>
                <w:b/>
              </w:rPr>
            </w:pPr>
          </w:p>
        </w:tc>
        <w:tc>
          <w:tcPr>
            <w:tcW w:w="567" w:type="dxa"/>
            <w:vAlign w:val="center"/>
          </w:tcPr>
          <w:p>
            <w:pPr>
              <w:spacing w:line="300" w:lineRule="exact"/>
              <w:jc w:val="right"/>
              <w:rPr>
                <w:rFonts w:ascii="????_GBK" w:eastAsia="Times New Roman"/>
                <w:b/>
              </w:rPr>
            </w:pPr>
          </w:p>
        </w:tc>
        <w:tc>
          <w:tcPr>
            <w:tcW w:w="2120"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jc w:val="center"/>
        </w:trPr>
        <w:tc>
          <w:tcPr>
            <w:tcW w:w="2913" w:type="dxa"/>
            <w:vAlign w:val="center"/>
          </w:tcPr>
          <w:p>
            <w:pPr>
              <w:spacing w:line="300" w:lineRule="exact"/>
              <w:jc w:val="left"/>
              <w:rPr>
                <w:rFonts w:ascii="????_GBK" w:eastAsia="Times New Roman"/>
              </w:rPr>
            </w:pPr>
            <w:r>
              <w:rPr>
                <w:rFonts w:ascii="????_GBK" w:eastAsia="Times New Roman"/>
              </w:rPr>
              <w:t>办公设备购置</w:t>
            </w:r>
          </w:p>
        </w:tc>
        <w:tc>
          <w:tcPr>
            <w:tcW w:w="827" w:type="dxa"/>
            <w:vAlign w:val="center"/>
          </w:tcPr>
          <w:p>
            <w:pPr>
              <w:spacing w:line="300" w:lineRule="exact"/>
              <w:jc w:val="right"/>
              <w:rPr>
                <w:rFonts w:ascii="????_GBK" w:eastAsia="Times New Roman"/>
              </w:rPr>
            </w:pPr>
            <w:r>
              <w:rPr>
                <w:rFonts w:ascii="????_GBK" w:eastAsia="Times New Roman"/>
              </w:rPr>
              <w:t>10.00</w:t>
            </w:r>
          </w:p>
        </w:tc>
        <w:tc>
          <w:tcPr>
            <w:tcW w:w="601" w:type="dxa"/>
            <w:vAlign w:val="center"/>
          </w:tcPr>
          <w:p>
            <w:pPr>
              <w:spacing w:line="300" w:lineRule="exact"/>
              <w:jc w:val="left"/>
              <w:rPr>
                <w:rFonts w:ascii="????_GBK" w:eastAsia="Times New Roman"/>
              </w:rPr>
            </w:pPr>
            <w:r>
              <w:rPr>
                <w:rFonts w:ascii="????_GBK" w:eastAsia="Times New Roman"/>
              </w:rPr>
              <w:t>计算机设备及软件</w:t>
            </w:r>
          </w:p>
        </w:tc>
        <w:tc>
          <w:tcPr>
            <w:tcW w:w="708" w:type="dxa"/>
            <w:vAlign w:val="center"/>
          </w:tcPr>
          <w:p>
            <w:pPr>
              <w:spacing w:line="300" w:lineRule="exact"/>
              <w:jc w:val="left"/>
              <w:rPr>
                <w:rFonts w:ascii="????_GBK" w:eastAsia="Times New Roman"/>
              </w:rPr>
            </w:pPr>
            <w:r>
              <w:rPr>
                <w:rFonts w:ascii="????_GBK" w:eastAsia="Times New Roman"/>
              </w:rPr>
              <w:t>A0201</w:t>
            </w:r>
          </w:p>
        </w:tc>
        <w:tc>
          <w:tcPr>
            <w:tcW w:w="567" w:type="dxa"/>
            <w:vAlign w:val="center"/>
          </w:tcPr>
          <w:p>
            <w:pPr>
              <w:spacing w:line="300" w:lineRule="exact"/>
              <w:jc w:val="left"/>
              <w:rPr>
                <w:rFonts w:ascii="????_GBK" w:eastAsia="Times New Roman"/>
              </w:rPr>
            </w:pPr>
            <w:r>
              <w:rPr>
                <w:rFonts w:ascii="????_GBK" w:eastAsia="Times New Roman"/>
              </w:rPr>
              <w:t>万元</w:t>
            </w:r>
          </w:p>
        </w:tc>
        <w:tc>
          <w:tcPr>
            <w:tcW w:w="714" w:type="dxa"/>
            <w:vAlign w:val="center"/>
          </w:tcPr>
          <w:p>
            <w:pPr>
              <w:spacing w:line="300" w:lineRule="exact"/>
              <w:jc w:val="right"/>
              <w:rPr>
                <w:rFonts w:ascii="????_GBK" w:eastAsia="Times New Roman"/>
              </w:rPr>
            </w:pPr>
            <w:r>
              <w:rPr>
                <w:rFonts w:ascii="????_GBK" w:eastAsia="Times New Roman"/>
              </w:rPr>
              <w:t>10.00</w:t>
            </w:r>
          </w:p>
        </w:tc>
        <w:tc>
          <w:tcPr>
            <w:tcW w:w="716" w:type="dxa"/>
            <w:vAlign w:val="center"/>
          </w:tcPr>
          <w:p>
            <w:pPr>
              <w:spacing w:line="300" w:lineRule="exact"/>
              <w:jc w:val="right"/>
              <w:rPr>
                <w:rFonts w:ascii="????_GBK" w:eastAsia="Times New Roman"/>
              </w:rPr>
            </w:pPr>
            <w:r>
              <w:rPr>
                <w:rFonts w:ascii="????_GBK" w:eastAsia="Times New Roman"/>
              </w:rPr>
              <w:t>1.00</w:t>
            </w:r>
          </w:p>
        </w:tc>
        <w:tc>
          <w:tcPr>
            <w:tcW w:w="710" w:type="dxa"/>
            <w:vAlign w:val="center"/>
          </w:tcPr>
          <w:p>
            <w:pPr>
              <w:spacing w:line="300" w:lineRule="exact"/>
              <w:jc w:val="right"/>
              <w:rPr>
                <w:rFonts w:ascii="????_GBK" w:eastAsia="Times New Roman"/>
              </w:rPr>
            </w:pPr>
            <w:r>
              <w:rPr>
                <w:rFonts w:ascii="????_GBK" w:eastAsia="Times New Roman"/>
              </w:rPr>
              <w:t>10.00</w:t>
            </w:r>
          </w:p>
        </w:tc>
        <w:tc>
          <w:tcPr>
            <w:tcW w:w="714" w:type="dxa"/>
            <w:vAlign w:val="center"/>
          </w:tcPr>
          <w:p>
            <w:pPr>
              <w:spacing w:line="300" w:lineRule="exact"/>
              <w:jc w:val="right"/>
              <w:rPr>
                <w:rFonts w:ascii="????_GBK" w:eastAsia="Times New Roman"/>
              </w:rPr>
            </w:pPr>
            <w:r>
              <w:rPr>
                <w:rFonts w:ascii="????_GBK" w:eastAsia="Times New Roman"/>
              </w:rPr>
              <w:t>10.00</w:t>
            </w:r>
          </w:p>
        </w:tc>
        <w:tc>
          <w:tcPr>
            <w:tcW w:w="855" w:type="dxa"/>
            <w:vAlign w:val="center"/>
          </w:tcPr>
          <w:p>
            <w:pPr>
              <w:spacing w:line="300" w:lineRule="exact"/>
              <w:jc w:val="right"/>
              <w:rPr>
                <w:rFonts w:ascii="????_GBK" w:eastAsia="Times New Roman"/>
              </w:rPr>
            </w:pPr>
            <w:r>
              <w:rPr>
                <w:rFonts w:ascii="????_GBK" w:eastAsia="Times New Roman"/>
              </w:rPr>
              <w:t>10.00</w:t>
            </w:r>
          </w:p>
        </w:tc>
        <w:tc>
          <w:tcPr>
            <w:tcW w:w="569" w:type="dxa"/>
            <w:vAlign w:val="center"/>
          </w:tcPr>
          <w:p>
            <w:pPr>
              <w:spacing w:line="300" w:lineRule="exact"/>
              <w:jc w:val="right"/>
              <w:rPr>
                <w:rFonts w:ascii="????_GBK" w:eastAsia="Times New Roman"/>
              </w:rPr>
            </w:pPr>
          </w:p>
        </w:tc>
        <w:tc>
          <w:tcPr>
            <w:tcW w:w="567" w:type="dxa"/>
            <w:vAlign w:val="center"/>
          </w:tcPr>
          <w:p>
            <w:pPr>
              <w:spacing w:line="300" w:lineRule="exact"/>
              <w:jc w:val="right"/>
              <w:rPr>
                <w:rFonts w:ascii="????_GBK" w:eastAsia="Times New Roman"/>
              </w:rPr>
            </w:pPr>
          </w:p>
        </w:tc>
        <w:tc>
          <w:tcPr>
            <w:tcW w:w="567" w:type="dxa"/>
            <w:vAlign w:val="center"/>
          </w:tcPr>
          <w:p>
            <w:pPr>
              <w:spacing w:line="300" w:lineRule="exact"/>
              <w:jc w:val="right"/>
              <w:rPr>
                <w:rFonts w:ascii="????_GBK" w:eastAsia="Times New Roman"/>
              </w:rPr>
            </w:pPr>
          </w:p>
        </w:tc>
        <w:tc>
          <w:tcPr>
            <w:tcW w:w="2120"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2913" w:type="dxa"/>
            <w:vAlign w:val="center"/>
          </w:tcPr>
          <w:p>
            <w:pPr>
              <w:spacing w:line="300" w:lineRule="exact"/>
              <w:jc w:val="left"/>
              <w:rPr>
                <w:rFonts w:ascii="????_GBK" w:eastAsia="Times New Roman"/>
              </w:rPr>
            </w:pPr>
            <w:r>
              <w:rPr>
                <w:rFonts w:ascii="????_GBK" w:eastAsia="Times New Roman"/>
              </w:rPr>
              <w:t>办案基地配套建设费</w:t>
            </w:r>
          </w:p>
        </w:tc>
        <w:tc>
          <w:tcPr>
            <w:tcW w:w="827" w:type="dxa"/>
            <w:vAlign w:val="center"/>
          </w:tcPr>
          <w:p>
            <w:pPr>
              <w:spacing w:line="300" w:lineRule="exact"/>
              <w:jc w:val="right"/>
              <w:rPr>
                <w:rFonts w:ascii="????_GBK" w:eastAsia="Times New Roman"/>
              </w:rPr>
            </w:pPr>
            <w:r>
              <w:rPr>
                <w:rFonts w:ascii="????_GBK" w:eastAsia="Times New Roman"/>
              </w:rPr>
              <w:t>260.00</w:t>
            </w:r>
          </w:p>
        </w:tc>
        <w:tc>
          <w:tcPr>
            <w:tcW w:w="601" w:type="dxa"/>
            <w:vAlign w:val="center"/>
          </w:tcPr>
          <w:p>
            <w:pPr>
              <w:spacing w:line="300" w:lineRule="exact"/>
              <w:jc w:val="left"/>
              <w:rPr>
                <w:rFonts w:ascii="????_GBK" w:eastAsia="Times New Roman"/>
              </w:rPr>
            </w:pPr>
            <w:r>
              <w:rPr>
                <w:rFonts w:ascii="????_GBK" w:eastAsia="Times New Roman"/>
              </w:rPr>
              <w:t>货物</w:t>
            </w:r>
          </w:p>
        </w:tc>
        <w:tc>
          <w:tcPr>
            <w:tcW w:w="708" w:type="dxa"/>
            <w:vAlign w:val="center"/>
          </w:tcPr>
          <w:p>
            <w:pPr>
              <w:spacing w:line="300" w:lineRule="exact"/>
              <w:jc w:val="left"/>
              <w:rPr>
                <w:rFonts w:ascii="????_GBK" w:eastAsia="Times New Roman"/>
              </w:rPr>
            </w:pPr>
            <w:r>
              <w:rPr>
                <w:rFonts w:ascii="????_GBK" w:eastAsia="Times New Roman"/>
              </w:rPr>
              <w:t>A</w:t>
            </w:r>
          </w:p>
        </w:tc>
        <w:tc>
          <w:tcPr>
            <w:tcW w:w="567" w:type="dxa"/>
            <w:vAlign w:val="center"/>
          </w:tcPr>
          <w:p>
            <w:pPr>
              <w:spacing w:line="300" w:lineRule="exact"/>
              <w:jc w:val="left"/>
              <w:rPr>
                <w:rFonts w:ascii="????_GBK" w:eastAsia="Times New Roman"/>
              </w:rPr>
            </w:pPr>
            <w:r>
              <w:rPr>
                <w:rFonts w:ascii="????_GBK" w:eastAsia="Times New Roman"/>
              </w:rPr>
              <w:t>万元</w:t>
            </w:r>
          </w:p>
        </w:tc>
        <w:tc>
          <w:tcPr>
            <w:tcW w:w="714" w:type="dxa"/>
            <w:vAlign w:val="center"/>
          </w:tcPr>
          <w:p>
            <w:pPr>
              <w:spacing w:line="300" w:lineRule="exact"/>
              <w:jc w:val="right"/>
              <w:rPr>
                <w:rFonts w:ascii="????_GBK" w:eastAsia="Times New Roman"/>
              </w:rPr>
            </w:pPr>
            <w:r>
              <w:rPr>
                <w:rFonts w:ascii="????_GBK" w:eastAsia="Times New Roman"/>
              </w:rPr>
              <w:t>100.00</w:t>
            </w:r>
          </w:p>
        </w:tc>
        <w:tc>
          <w:tcPr>
            <w:tcW w:w="716" w:type="dxa"/>
            <w:vAlign w:val="center"/>
          </w:tcPr>
          <w:p>
            <w:pPr>
              <w:spacing w:line="300" w:lineRule="exact"/>
              <w:jc w:val="right"/>
              <w:rPr>
                <w:rFonts w:ascii="????_GBK" w:eastAsia="Times New Roman"/>
              </w:rPr>
            </w:pPr>
            <w:r>
              <w:rPr>
                <w:rFonts w:ascii="????_GBK" w:eastAsia="Times New Roman"/>
              </w:rPr>
              <w:t>1.00</w:t>
            </w:r>
          </w:p>
        </w:tc>
        <w:tc>
          <w:tcPr>
            <w:tcW w:w="710" w:type="dxa"/>
            <w:vAlign w:val="center"/>
          </w:tcPr>
          <w:p>
            <w:pPr>
              <w:spacing w:line="300" w:lineRule="exact"/>
              <w:jc w:val="right"/>
              <w:rPr>
                <w:rFonts w:ascii="????_GBK" w:eastAsia="Times New Roman"/>
              </w:rPr>
            </w:pPr>
            <w:r>
              <w:rPr>
                <w:rFonts w:ascii="????_GBK" w:eastAsia="Times New Roman"/>
              </w:rPr>
              <w:t>100.00</w:t>
            </w:r>
          </w:p>
        </w:tc>
        <w:tc>
          <w:tcPr>
            <w:tcW w:w="714" w:type="dxa"/>
            <w:vAlign w:val="center"/>
          </w:tcPr>
          <w:p>
            <w:pPr>
              <w:spacing w:line="300" w:lineRule="exact"/>
              <w:jc w:val="right"/>
              <w:rPr>
                <w:rFonts w:ascii="????_GBK" w:eastAsia="Times New Roman"/>
              </w:rPr>
            </w:pPr>
            <w:r>
              <w:rPr>
                <w:rFonts w:ascii="????_GBK" w:eastAsia="Times New Roman"/>
              </w:rPr>
              <w:t>100.00</w:t>
            </w:r>
          </w:p>
        </w:tc>
        <w:tc>
          <w:tcPr>
            <w:tcW w:w="855" w:type="dxa"/>
            <w:vAlign w:val="center"/>
          </w:tcPr>
          <w:p>
            <w:pPr>
              <w:spacing w:line="300" w:lineRule="exact"/>
              <w:jc w:val="right"/>
              <w:rPr>
                <w:rFonts w:ascii="????_GBK" w:eastAsia="Times New Roman"/>
              </w:rPr>
            </w:pPr>
            <w:r>
              <w:rPr>
                <w:rFonts w:ascii="????_GBK" w:eastAsia="Times New Roman"/>
              </w:rPr>
              <w:t>100.00</w:t>
            </w:r>
          </w:p>
        </w:tc>
        <w:tc>
          <w:tcPr>
            <w:tcW w:w="569" w:type="dxa"/>
            <w:vAlign w:val="center"/>
          </w:tcPr>
          <w:p>
            <w:pPr>
              <w:spacing w:line="300" w:lineRule="exact"/>
              <w:jc w:val="right"/>
              <w:rPr>
                <w:rFonts w:ascii="????_GBK" w:eastAsia="Times New Roman"/>
              </w:rPr>
            </w:pPr>
          </w:p>
        </w:tc>
        <w:tc>
          <w:tcPr>
            <w:tcW w:w="567" w:type="dxa"/>
            <w:vAlign w:val="center"/>
          </w:tcPr>
          <w:p>
            <w:pPr>
              <w:spacing w:line="300" w:lineRule="exact"/>
              <w:jc w:val="right"/>
              <w:rPr>
                <w:rFonts w:ascii="????_GBK" w:eastAsia="Times New Roman"/>
              </w:rPr>
            </w:pPr>
          </w:p>
        </w:tc>
        <w:tc>
          <w:tcPr>
            <w:tcW w:w="567" w:type="dxa"/>
            <w:vAlign w:val="center"/>
          </w:tcPr>
          <w:p>
            <w:pPr>
              <w:spacing w:line="300" w:lineRule="exact"/>
              <w:jc w:val="right"/>
              <w:rPr>
                <w:rFonts w:ascii="????_GBK" w:eastAsia="Times New Roman"/>
              </w:rPr>
            </w:pPr>
          </w:p>
        </w:tc>
        <w:tc>
          <w:tcPr>
            <w:tcW w:w="2120"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jc w:val="center"/>
        </w:trPr>
        <w:tc>
          <w:tcPr>
            <w:tcW w:w="2913" w:type="dxa"/>
            <w:vAlign w:val="center"/>
          </w:tcPr>
          <w:p>
            <w:pPr>
              <w:spacing w:line="300" w:lineRule="exact"/>
              <w:jc w:val="left"/>
              <w:rPr>
                <w:rFonts w:ascii="????_GBK" w:eastAsia="Times New Roman"/>
              </w:rPr>
            </w:pPr>
            <w:r>
              <w:rPr>
                <w:rFonts w:ascii="????_GBK" w:eastAsia="Times New Roman"/>
              </w:rPr>
              <w:t>办案基地运行费</w:t>
            </w:r>
          </w:p>
        </w:tc>
        <w:tc>
          <w:tcPr>
            <w:tcW w:w="827" w:type="dxa"/>
            <w:vAlign w:val="center"/>
          </w:tcPr>
          <w:p>
            <w:pPr>
              <w:spacing w:line="300" w:lineRule="exact"/>
              <w:jc w:val="right"/>
              <w:rPr>
                <w:rFonts w:ascii="????_GBK"/>
              </w:rPr>
            </w:pPr>
            <w:r>
              <w:rPr>
                <w:rFonts w:ascii="????_GBK"/>
              </w:rPr>
              <w:t>1200.00</w:t>
            </w:r>
          </w:p>
        </w:tc>
        <w:tc>
          <w:tcPr>
            <w:tcW w:w="601" w:type="dxa"/>
            <w:vAlign w:val="center"/>
          </w:tcPr>
          <w:p>
            <w:pPr>
              <w:spacing w:line="300" w:lineRule="exact"/>
              <w:jc w:val="left"/>
              <w:rPr>
                <w:rFonts w:ascii="????_GBK" w:eastAsia="Times New Roman"/>
              </w:rPr>
            </w:pPr>
            <w:r>
              <w:rPr>
                <w:rFonts w:ascii="????_GBK" w:eastAsia="Times New Roman"/>
              </w:rPr>
              <w:t>服务</w:t>
            </w:r>
          </w:p>
        </w:tc>
        <w:tc>
          <w:tcPr>
            <w:tcW w:w="708" w:type="dxa"/>
            <w:vAlign w:val="center"/>
          </w:tcPr>
          <w:p>
            <w:pPr>
              <w:spacing w:line="300" w:lineRule="exact"/>
              <w:jc w:val="left"/>
              <w:rPr>
                <w:rFonts w:ascii="????_GBK" w:eastAsia="Times New Roman"/>
              </w:rPr>
            </w:pPr>
            <w:r>
              <w:rPr>
                <w:rFonts w:ascii="????_GBK" w:eastAsia="Times New Roman"/>
              </w:rPr>
              <w:t>C</w:t>
            </w:r>
          </w:p>
        </w:tc>
        <w:tc>
          <w:tcPr>
            <w:tcW w:w="567" w:type="dxa"/>
            <w:vAlign w:val="center"/>
          </w:tcPr>
          <w:p>
            <w:pPr>
              <w:spacing w:line="300" w:lineRule="exact"/>
              <w:jc w:val="left"/>
              <w:rPr>
                <w:rFonts w:ascii="????_GBK" w:eastAsia="Times New Roman"/>
              </w:rPr>
            </w:pPr>
            <w:r>
              <w:rPr>
                <w:rFonts w:ascii="????_GBK" w:eastAsia="Times New Roman"/>
              </w:rPr>
              <w:t>万元</w:t>
            </w:r>
          </w:p>
        </w:tc>
        <w:tc>
          <w:tcPr>
            <w:tcW w:w="714" w:type="dxa"/>
            <w:vAlign w:val="center"/>
          </w:tcPr>
          <w:p>
            <w:pPr>
              <w:spacing w:line="300" w:lineRule="exact"/>
              <w:jc w:val="right"/>
              <w:rPr>
                <w:rFonts w:ascii="????_GBK"/>
              </w:rPr>
            </w:pPr>
            <w:r>
              <w:rPr>
                <w:rFonts w:ascii="????_GBK"/>
              </w:rPr>
              <w:t>960</w:t>
            </w:r>
          </w:p>
        </w:tc>
        <w:tc>
          <w:tcPr>
            <w:tcW w:w="716" w:type="dxa"/>
            <w:vAlign w:val="center"/>
          </w:tcPr>
          <w:p>
            <w:pPr>
              <w:spacing w:line="300" w:lineRule="exact"/>
              <w:jc w:val="right"/>
              <w:rPr>
                <w:rFonts w:ascii="????_GBK"/>
              </w:rPr>
            </w:pPr>
            <w:r>
              <w:rPr>
                <w:rFonts w:ascii="????_GBK"/>
              </w:rPr>
              <w:t>1.00</w:t>
            </w:r>
          </w:p>
        </w:tc>
        <w:tc>
          <w:tcPr>
            <w:tcW w:w="710" w:type="dxa"/>
            <w:vAlign w:val="center"/>
          </w:tcPr>
          <w:p>
            <w:pPr>
              <w:spacing w:line="300" w:lineRule="exact"/>
              <w:jc w:val="right"/>
              <w:rPr>
                <w:rFonts w:ascii="????_GBK"/>
              </w:rPr>
            </w:pPr>
            <w:r>
              <w:rPr>
                <w:rFonts w:ascii="????_GBK"/>
              </w:rPr>
              <w:t>960.00</w:t>
            </w:r>
          </w:p>
        </w:tc>
        <w:tc>
          <w:tcPr>
            <w:tcW w:w="714" w:type="dxa"/>
            <w:vAlign w:val="center"/>
          </w:tcPr>
          <w:p>
            <w:pPr>
              <w:spacing w:line="300" w:lineRule="exact"/>
              <w:jc w:val="right"/>
              <w:rPr>
                <w:rFonts w:ascii="????_GBK" w:eastAsia="Times New Roman"/>
              </w:rPr>
            </w:pPr>
            <w:r>
              <w:rPr>
                <w:rFonts w:ascii="????_GBK"/>
              </w:rPr>
              <w:t>96</w:t>
            </w:r>
            <w:r>
              <w:rPr>
                <w:rFonts w:ascii="????_GBK" w:eastAsia="Times New Roman"/>
              </w:rPr>
              <w:t>0.00</w:t>
            </w:r>
          </w:p>
        </w:tc>
        <w:tc>
          <w:tcPr>
            <w:tcW w:w="855" w:type="dxa"/>
            <w:vAlign w:val="center"/>
          </w:tcPr>
          <w:p>
            <w:pPr>
              <w:spacing w:line="300" w:lineRule="exact"/>
              <w:jc w:val="right"/>
              <w:rPr>
                <w:rFonts w:ascii="????_GBK" w:eastAsia="Times New Roman"/>
              </w:rPr>
            </w:pPr>
            <w:r>
              <w:rPr>
                <w:rFonts w:ascii="????_GBK"/>
              </w:rPr>
              <w:t>96</w:t>
            </w:r>
            <w:r>
              <w:rPr>
                <w:rFonts w:ascii="????_GBK" w:eastAsia="Times New Roman"/>
              </w:rPr>
              <w:t>0.00</w:t>
            </w:r>
          </w:p>
        </w:tc>
        <w:tc>
          <w:tcPr>
            <w:tcW w:w="569" w:type="dxa"/>
            <w:vAlign w:val="center"/>
          </w:tcPr>
          <w:p>
            <w:pPr>
              <w:spacing w:line="300" w:lineRule="exact"/>
              <w:jc w:val="right"/>
              <w:rPr>
                <w:rFonts w:ascii="????_GBK" w:eastAsia="Times New Roman"/>
              </w:rPr>
            </w:pPr>
          </w:p>
        </w:tc>
        <w:tc>
          <w:tcPr>
            <w:tcW w:w="567" w:type="dxa"/>
            <w:vAlign w:val="center"/>
          </w:tcPr>
          <w:p>
            <w:pPr>
              <w:spacing w:line="300" w:lineRule="exact"/>
              <w:jc w:val="right"/>
              <w:rPr>
                <w:rFonts w:ascii="????_GBK" w:eastAsia="Times New Roman"/>
              </w:rPr>
            </w:pPr>
          </w:p>
        </w:tc>
        <w:tc>
          <w:tcPr>
            <w:tcW w:w="567" w:type="dxa"/>
            <w:vAlign w:val="center"/>
          </w:tcPr>
          <w:p>
            <w:pPr>
              <w:spacing w:line="300" w:lineRule="exact"/>
              <w:jc w:val="right"/>
              <w:rPr>
                <w:rFonts w:ascii="????_GBK" w:eastAsia="Times New Roman"/>
              </w:rPr>
            </w:pPr>
          </w:p>
        </w:tc>
        <w:tc>
          <w:tcPr>
            <w:tcW w:w="2120"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jc w:val="center"/>
        </w:trPr>
        <w:tc>
          <w:tcPr>
            <w:tcW w:w="2913" w:type="dxa"/>
            <w:vAlign w:val="center"/>
          </w:tcPr>
          <w:p>
            <w:pPr>
              <w:spacing w:line="300" w:lineRule="exact"/>
              <w:jc w:val="left"/>
              <w:rPr>
                <w:rFonts w:ascii="????_GBK" w:eastAsia="Times New Roman"/>
              </w:rPr>
            </w:pPr>
            <w:r>
              <w:rPr>
                <w:rFonts w:ascii="????_GBK" w:eastAsia="Times New Roman"/>
              </w:rPr>
              <w:t>纪检监察巡视专项工作经费</w:t>
            </w:r>
          </w:p>
        </w:tc>
        <w:tc>
          <w:tcPr>
            <w:tcW w:w="827" w:type="dxa"/>
            <w:vAlign w:val="center"/>
          </w:tcPr>
          <w:p>
            <w:pPr>
              <w:spacing w:line="300" w:lineRule="exact"/>
              <w:jc w:val="right"/>
              <w:rPr>
                <w:rFonts w:ascii="????_GBK" w:eastAsia="Times New Roman"/>
              </w:rPr>
            </w:pPr>
            <w:r>
              <w:rPr>
                <w:rFonts w:ascii="????_GBK" w:eastAsia="Times New Roman"/>
              </w:rPr>
              <w:t>1000.00</w:t>
            </w:r>
          </w:p>
        </w:tc>
        <w:tc>
          <w:tcPr>
            <w:tcW w:w="601" w:type="dxa"/>
            <w:vAlign w:val="center"/>
          </w:tcPr>
          <w:p>
            <w:pPr>
              <w:spacing w:line="300" w:lineRule="exact"/>
              <w:jc w:val="left"/>
              <w:rPr>
                <w:rFonts w:ascii="????_GBK" w:eastAsia="Times New Roman"/>
              </w:rPr>
            </w:pPr>
            <w:r>
              <w:rPr>
                <w:rFonts w:ascii="????_GBK" w:eastAsia="Times New Roman"/>
              </w:rPr>
              <w:t>计算机设备及软件</w:t>
            </w:r>
          </w:p>
        </w:tc>
        <w:tc>
          <w:tcPr>
            <w:tcW w:w="708" w:type="dxa"/>
            <w:vAlign w:val="center"/>
          </w:tcPr>
          <w:p>
            <w:pPr>
              <w:spacing w:line="300" w:lineRule="exact"/>
              <w:jc w:val="left"/>
              <w:rPr>
                <w:rFonts w:ascii="????_GBK" w:eastAsia="Times New Roman"/>
              </w:rPr>
            </w:pPr>
            <w:r>
              <w:rPr>
                <w:rFonts w:ascii="????_GBK" w:eastAsia="Times New Roman"/>
              </w:rPr>
              <w:t>A0201</w:t>
            </w:r>
          </w:p>
        </w:tc>
        <w:tc>
          <w:tcPr>
            <w:tcW w:w="567" w:type="dxa"/>
            <w:vAlign w:val="center"/>
          </w:tcPr>
          <w:p>
            <w:pPr>
              <w:spacing w:line="300" w:lineRule="exact"/>
              <w:jc w:val="left"/>
              <w:rPr>
                <w:rFonts w:ascii="????_GBK" w:eastAsia="Times New Roman"/>
              </w:rPr>
            </w:pPr>
            <w:r>
              <w:rPr>
                <w:rFonts w:ascii="????_GBK" w:eastAsia="Times New Roman"/>
              </w:rPr>
              <w:t>万元</w:t>
            </w:r>
          </w:p>
        </w:tc>
        <w:tc>
          <w:tcPr>
            <w:tcW w:w="714" w:type="dxa"/>
            <w:vAlign w:val="center"/>
          </w:tcPr>
          <w:p>
            <w:pPr>
              <w:spacing w:line="300" w:lineRule="exact"/>
              <w:jc w:val="right"/>
              <w:rPr>
                <w:rFonts w:ascii="????_GBK"/>
              </w:rPr>
            </w:pPr>
            <w:r>
              <w:rPr>
                <w:rFonts w:ascii="????_GBK"/>
              </w:rPr>
              <w:t>110.00</w:t>
            </w:r>
          </w:p>
        </w:tc>
        <w:tc>
          <w:tcPr>
            <w:tcW w:w="716" w:type="dxa"/>
            <w:vAlign w:val="center"/>
          </w:tcPr>
          <w:p>
            <w:pPr>
              <w:spacing w:line="300" w:lineRule="exact"/>
              <w:jc w:val="right"/>
              <w:rPr>
                <w:rFonts w:ascii="????_GBK" w:eastAsia="Times New Roman"/>
              </w:rPr>
            </w:pPr>
            <w:r>
              <w:rPr>
                <w:rFonts w:ascii="????_GBK" w:eastAsia="Times New Roman"/>
              </w:rPr>
              <w:t>1.00</w:t>
            </w:r>
          </w:p>
        </w:tc>
        <w:tc>
          <w:tcPr>
            <w:tcW w:w="710" w:type="dxa"/>
            <w:vAlign w:val="center"/>
          </w:tcPr>
          <w:p>
            <w:pPr>
              <w:spacing w:line="300" w:lineRule="exact"/>
              <w:jc w:val="right"/>
              <w:rPr>
                <w:rFonts w:ascii="????_GBK"/>
              </w:rPr>
            </w:pPr>
            <w:r>
              <w:rPr>
                <w:rFonts w:ascii="????_GBK"/>
              </w:rPr>
              <w:t>110.00</w:t>
            </w:r>
          </w:p>
        </w:tc>
        <w:tc>
          <w:tcPr>
            <w:tcW w:w="714" w:type="dxa"/>
            <w:vAlign w:val="center"/>
          </w:tcPr>
          <w:p>
            <w:pPr>
              <w:spacing w:line="300" w:lineRule="exact"/>
              <w:jc w:val="right"/>
              <w:rPr>
                <w:rFonts w:ascii="????_GBK"/>
              </w:rPr>
            </w:pPr>
            <w:r>
              <w:rPr>
                <w:rFonts w:ascii="????_GBK"/>
              </w:rPr>
              <w:t>110.00</w:t>
            </w:r>
          </w:p>
        </w:tc>
        <w:tc>
          <w:tcPr>
            <w:tcW w:w="855" w:type="dxa"/>
            <w:vAlign w:val="center"/>
          </w:tcPr>
          <w:p>
            <w:pPr>
              <w:spacing w:line="300" w:lineRule="exact"/>
              <w:jc w:val="right"/>
              <w:rPr>
                <w:rFonts w:ascii="????_GBK"/>
              </w:rPr>
            </w:pPr>
            <w:r>
              <w:rPr>
                <w:rFonts w:ascii="????_GBK"/>
              </w:rPr>
              <w:t>110.00</w:t>
            </w:r>
          </w:p>
        </w:tc>
        <w:tc>
          <w:tcPr>
            <w:tcW w:w="569" w:type="dxa"/>
            <w:vAlign w:val="center"/>
          </w:tcPr>
          <w:p>
            <w:pPr>
              <w:spacing w:line="300" w:lineRule="exact"/>
              <w:jc w:val="right"/>
              <w:rPr>
                <w:rFonts w:ascii="????_GBK" w:eastAsia="Times New Roman"/>
              </w:rPr>
            </w:pPr>
          </w:p>
        </w:tc>
        <w:tc>
          <w:tcPr>
            <w:tcW w:w="567" w:type="dxa"/>
            <w:vAlign w:val="center"/>
          </w:tcPr>
          <w:p>
            <w:pPr>
              <w:spacing w:line="300" w:lineRule="exact"/>
              <w:jc w:val="right"/>
              <w:rPr>
                <w:rFonts w:ascii="????_GBK" w:eastAsia="Times New Roman"/>
              </w:rPr>
            </w:pPr>
          </w:p>
        </w:tc>
        <w:tc>
          <w:tcPr>
            <w:tcW w:w="567" w:type="dxa"/>
            <w:vAlign w:val="center"/>
          </w:tcPr>
          <w:p>
            <w:pPr>
              <w:spacing w:line="300" w:lineRule="exact"/>
              <w:jc w:val="right"/>
              <w:rPr>
                <w:rFonts w:ascii="????_GBK" w:eastAsia="Times New Roman"/>
              </w:rPr>
            </w:pPr>
          </w:p>
        </w:tc>
        <w:tc>
          <w:tcPr>
            <w:tcW w:w="2120" w:type="dxa"/>
            <w:vAlign w:val="center"/>
          </w:tcPr>
          <w:p>
            <w:pPr>
              <w:spacing w:line="300" w:lineRule="exact"/>
              <w:jc w:val="right"/>
              <w:rPr>
                <w:rFonts w:ascii="????_GBK" w:eastAsia="Times New Roman"/>
              </w:rPr>
            </w:pPr>
          </w:p>
        </w:tc>
      </w:tr>
    </w:tbl>
    <w:p>
      <w:pPr>
        <w:spacing w:line="300" w:lineRule="exact"/>
        <w:jc w:val="left"/>
        <w:outlineLvl w:val="0"/>
        <w:rPr>
          <w:color w:val="0000FF"/>
        </w:rPr>
        <w:sectPr>
          <w:pgSz w:w="16839" w:h="11907" w:orient="landscape"/>
          <w:pgMar w:top="1361" w:right="1020" w:bottom="1361" w:left="1020" w:header="851" w:footer="992" w:gutter="0"/>
          <w:cols w:space="425" w:num="1"/>
          <w:docGrid w:type="lines" w:linePitch="312" w:charSpace="0"/>
        </w:sectPr>
      </w:pPr>
    </w:p>
    <w:p>
      <w:pPr>
        <w:rPr>
          <w:rFonts w:ascii="黑体" w:hAnsi="黑体" w:eastAsia="黑体"/>
          <w:color w:val="FF0000"/>
          <w:sz w:val="32"/>
          <w:szCs w:val="32"/>
        </w:rPr>
      </w:pPr>
      <w:r>
        <w:rPr>
          <w:rFonts w:ascii="黑体" w:hAnsi="黑体" w:eastAsia="黑体"/>
          <w:sz w:val="32"/>
          <w:szCs w:val="32"/>
        </w:rPr>
        <w:t xml:space="preserve"> </w:t>
      </w:r>
      <w:r>
        <w:rPr>
          <w:rFonts w:hint="eastAsia" w:ascii="黑体" w:hAnsi="黑体" w:eastAsia="黑体"/>
          <w:color w:val="auto"/>
          <w:sz w:val="32"/>
          <w:szCs w:val="32"/>
        </w:rPr>
        <w:t>七、国有资产信息</w:t>
      </w:r>
    </w:p>
    <w:p>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上年末固定资产金额为</w:t>
      </w:r>
      <w:r>
        <w:rPr>
          <w:rFonts w:hint="eastAsia" w:ascii="仿宋_GB2312" w:eastAsia="仿宋_GB2312"/>
          <w:sz w:val="32"/>
          <w:szCs w:val="32"/>
          <w:lang w:val="en-US" w:eastAsia="zh-CN"/>
        </w:rPr>
        <w:t>1762.69</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详见下表</w:t>
      </w:r>
      <w:r>
        <w:rPr>
          <w:rFonts w:ascii="仿宋_GB2312" w:eastAsia="仿宋_GB2312"/>
          <w:sz w:val="32"/>
          <w:szCs w:val="32"/>
        </w:rPr>
        <w:t>)</w:t>
      </w:r>
      <w:r>
        <w:rPr>
          <w:rFonts w:hint="eastAsia" w:ascii="仿宋_GB2312" w:eastAsia="仿宋_GB2312"/>
          <w:sz w:val="32"/>
          <w:szCs w:val="32"/>
        </w:rPr>
        <w:t>，本年度各单位</w:t>
      </w:r>
      <w:r>
        <w:rPr>
          <w:rFonts w:ascii="仿宋_GB2312" w:eastAsia="仿宋_GB2312"/>
          <w:sz w:val="32"/>
          <w:szCs w:val="32"/>
        </w:rPr>
        <w:t>(</w:t>
      </w:r>
      <w:r>
        <w:rPr>
          <w:rFonts w:hint="eastAsia" w:ascii="仿宋_GB2312" w:eastAsia="仿宋_GB2312"/>
          <w:sz w:val="32"/>
          <w:szCs w:val="32"/>
        </w:rPr>
        <w:t>处室</w:t>
      </w:r>
      <w:r>
        <w:rPr>
          <w:rFonts w:ascii="仿宋_GB2312" w:eastAsia="仿宋_GB2312"/>
          <w:sz w:val="32"/>
          <w:szCs w:val="32"/>
        </w:rPr>
        <w:t>)</w:t>
      </w:r>
      <w:r>
        <w:rPr>
          <w:rFonts w:hint="eastAsia" w:ascii="仿宋_GB2312" w:eastAsia="仿宋_GB2312"/>
          <w:sz w:val="32"/>
          <w:szCs w:val="32"/>
        </w:rPr>
        <w:t>拟购置固定资产总额为</w:t>
      </w:r>
      <w:r>
        <w:rPr>
          <w:rFonts w:hint="eastAsia" w:ascii="仿宋_GB2312" w:eastAsia="仿宋_GB2312"/>
          <w:sz w:val="32"/>
          <w:szCs w:val="32"/>
          <w:lang w:val="en-US" w:eastAsia="zh-CN"/>
        </w:rPr>
        <w:t>3</w:t>
      </w:r>
      <w:r>
        <w:rPr>
          <w:rFonts w:ascii="仿宋_GB2312" w:eastAsia="仿宋_GB2312"/>
          <w:sz w:val="32"/>
          <w:szCs w:val="32"/>
        </w:rPr>
        <w:t>38.</w:t>
      </w:r>
      <w:r>
        <w:rPr>
          <w:rFonts w:hint="eastAsia" w:ascii="仿宋_GB2312" w:eastAsia="仿宋_GB2312"/>
          <w:sz w:val="32"/>
          <w:szCs w:val="32"/>
          <w:lang w:val="en-US" w:eastAsia="zh-CN"/>
        </w:rPr>
        <w:t>3</w:t>
      </w:r>
      <w:r>
        <w:rPr>
          <w:rFonts w:ascii="仿宋_GB2312" w:eastAsia="仿宋_GB2312"/>
          <w:sz w:val="32"/>
          <w:szCs w:val="32"/>
        </w:rPr>
        <w:t>4</w:t>
      </w:r>
      <w:r>
        <w:rPr>
          <w:rFonts w:hint="eastAsia" w:ascii="仿宋_GB2312" w:eastAsia="仿宋_GB2312"/>
          <w:sz w:val="32"/>
          <w:szCs w:val="32"/>
        </w:rPr>
        <w:t>万元，主要为计算机设备、打印设备、空调、办公家具等已列入政府采购预算，详见政府采购预算表。</w:t>
      </w:r>
    </w:p>
    <w:p>
      <w:pPr>
        <w:ind w:firstLine="420"/>
        <w:jc w:val="center"/>
        <w:rPr>
          <w:rFonts w:ascii="宋体"/>
          <w:b/>
          <w:sz w:val="32"/>
          <w:szCs w:val="32"/>
        </w:rPr>
      </w:pPr>
      <w:r>
        <w:rPr>
          <w:rFonts w:hint="eastAsia" w:ascii="宋体" w:hAnsi="宋体"/>
          <w:b/>
          <w:sz w:val="32"/>
          <w:szCs w:val="32"/>
        </w:rPr>
        <w:t>河北省省直部门固定资产占用情况表</w:t>
      </w:r>
    </w:p>
    <w:p>
      <w:pPr>
        <w:ind w:firstLine="420"/>
        <w:rPr>
          <w:rFonts w:ascii="宋体"/>
        </w:rPr>
      </w:pPr>
      <w:r>
        <w:rPr>
          <w:rFonts w:hint="eastAsia" w:ascii="宋体" w:hAnsi="宋体"/>
        </w:rPr>
        <w:t>编制部门：河北省财政厅</w:t>
      </w:r>
      <w:r>
        <w:rPr>
          <w:rFonts w:ascii="宋体" w:hAnsi="宋体"/>
        </w:rPr>
        <w:t xml:space="preserve">                                                                 </w:t>
      </w:r>
      <w:r>
        <w:rPr>
          <w:rFonts w:hint="eastAsia" w:ascii="宋体" w:hAnsi="宋体"/>
        </w:rPr>
        <w:t>截止时间</w:t>
      </w:r>
      <w:r>
        <w:rPr>
          <w:rFonts w:ascii="宋体" w:hAnsi="宋体"/>
        </w:rPr>
        <w:t>:2018</w:t>
      </w:r>
      <w:r>
        <w:rPr>
          <w:rFonts w:hint="eastAsia" w:ascii="宋体" w:hAnsi="宋体"/>
        </w:rPr>
        <w:t>年</w:t>
      </w:r>
      <w:r>
        <w:rPr>
          <w:rFonts w:ascii="宋体" w:hAnsi="宋体"/>
        </w:rPr>
        <w:t>12</w:t>
      </w:r>
      <w:r>
        <w:rPr>
          <w:rFonts w:hint="eastAsia" w:ascii="宋体" w:hAnsi="宋体"/>
        </w:rPr>
        <w:t>月</w:t>
      </w:r>
      <w:r>
        <w:rPr>
          <w:rFonts w:ascii="宋体" w:hAnsi="宋体"/>
        </w:rPr>
        <w:t>31</w:t>
      </w:r>
      <w:r>
        <w:rPr>
          <w:rFonts w:hint="eastAsia" w:ascii="宋体" w:hAnsi="宋体"/>
        </w:rPr>
        <w:t>日</w:t>
      </w:r>
    </w:p>
    <w:tbl>
      <w:tblPr>
        <w:tblStyle w:val="7"/>
        <w:tblW w:w="13909" w:type="dxa"/>
        <w:jc w:val="center"/>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65"/>
        <w:gridCol w:w="4772"/>
        <w:gridCol w:w="4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8" w:hRule="atLeast"/>
          <w:jc w:val="center"/>
        </w:trPr>
        <w:tc>
          <w:tcPr>
            <w:tcW w:w="4365" w:type="dxa"/>
            <w:vAlign w:val="center"/>
          </w:tcPr>
          <w:p>
            <w:pPr>
              <w:jc w:val="center"/>
              <w:rPr>
                <w:rFonts w:ascii="宋体"/>
                <w:b/>
              </w:rPr>
            </w:pPr>
            <w:r>
              <w:rPr>
                <w:rFonts w:hint="eastAsia" w:ascii="宋体" w:hAnsi="宋体"/>
                <w:b/>
              </w:rPr>
              <w:t>项</w:t>
            </w:r>
            <w:r>
              <w:rPr>
                <w:rFonts w:ascii="宋体" w:hAnsi="宋体"/>
                <w:b/>
              </w:rPr>
              <w:t xml:space="preserve">  </w:t>
            </w:r>
            <w:r>
              <w:rPr>
                <w:rFonts w:hint="eastAsia" w:ascii="宋体" w:hAnsi="宋体"/>
                <w:b/>
              </w:rPr>
              <w:t>目</w:t>
            </w:r>
          </w:p>
        </w:tc>
        <w:tc>
          <w:tcPr>
            <w:tcW w:w="4772" w:type="dxa"/>
            <w:vAlign w:val="center"/>
          </w:tcPr>
          <w:p>
            <w:pPr>
              <w:jc w:val="center"/>
              <w:rPr>
                <w:rFonts w:ascii="宋体"/>
                <w:b/>
              </w:rPr>
            </w:pPr>
            <w:r>
              <w:rPr>
                <w:rFonts w:hint="eastAsia" w:ascii="宋体" w:hAnsi="宋体"/>
                <w:b/>
              </w:rPr>
              <w:t>数量</w:t>
            </w:r>
          </w:p>
        </w:tc>
        <w:tc>
          <w:tcPr>
            <w:tcW w:w="4772" w:type="dxa"/>
            <w:vAlign w:val="center"/>
          </w:tcPr>
          <w:p>
            <w:pPr>
              <w:jc w:val="center"/>
              <w:rPr>
                <w:rFonts w:ascii="宋体"/>
                <w:b/>
              </w:rPr>
            </w:pPr>
            <w:r>
              <w:rPr>
                <w:rFonts w:hint="eastAsia" w:ascii="宋体" w:hAnsi="宋体"/>
                <w:b/>
              </w:rPr>
              <w:t>价值</w:t>
            </w:r>
            <w:r>
              <w:rPr>
                <w:rFonts w:ascii="宋体" w:hAnsi="宋体"/>
                <w:b/>
              </w:rPr>
              <w:t>(</w:t>
            </w:r>
            <w:r>
              <w:rPr>
                <w:rFonts w:hint="eastAsia" w:ascii="宋体" w:hAnsi="宋体"/>
                <w:b/>
              </w:rPr>
              <w:t>金额单位：万元</w:t>
            </w:r>
            <w:r>
              <w:rPr>
                <w:rFonts w:ascii="宋体" w:hAnsi="宋体"/>
                <w:b/>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8" w:hRule="atLeast"/>
          <w:jc w:val="center"/>
        </w:trPr>
        <w:tc>
          <w:tcPr>
            <w:tcW w:w="4365" w:type="dxa"/>
            <w:vAlign w:val="center"/>
          </w:tcPr>
          <w:p>
            <w:pPr>
              <w:jc w:val="center"/>
              <w:rPr>
                <w:rFonts w:ascii="宋体"/>
              </w:rPr>
            </w:pPr>
            <w:r>
              <w:rPr>
                <w:rFonts w:hint="eastAsia" w:ascii="宋体" w:hAnsi="宋体"/>
              </w:rPr>
              <w:t>资产总额</w:t>
            </w:r>
          </w:p>
        </w:tc>
        <w:tc>
          <w:tcPr>
            <w:tcW w:w="4772" w:type="dxa"/>
            <w:vAlign w:val="center"/>
          </w:tcPr>
          <w:p>
            <w:pPr>
              <w:jc w:val="center"/>
              <w:rPr>
                <w:rFonts w:ascii="黑体" w:hAnsi="黑体" w:eastAsia="黑体"/>
              </w:rPr>
            </w:pPr>
            <w:r>
              <w:rPr>
                <w:rFonts w:ascii="黑体" w:hAnsi="黑体" w:eastAsia="黑体"/>
              </w:rPr>
              <w:t>----</w:t>
            </w:r>
          </w:p>
        </w:tc>
        <w:tc>
          <w:tcPr>
            <w:tcW w:w="4772" w:type="dxa"/>
            <w:vAlign w:val="center"/>
          </w:tcPr>
          <w:p>
            <w:pPr>
              <w:jc w:val="center"/>
              <w:rPr>
                <w:rFonts w:hint="eastAsia" w:ascii="黑体" w:hAnsi="黑体" w:eastAsia="黑体"/>
                <w:lang w:val="en-US" w:eastAsia="zh-CN"/>
              </w:rPr>
            </w:pPr>
            <w:r>
              <w:rPr>
                <w:rFonts w:hint="eastAsia" w:ascii="黑体" w:hAnsi="黑体" w:eastAsia="黑体"/>
                <w:lang w:val="en-US" w:eastAsia="zh-CN"/>
              </w:rPr>
              <w:t>1762.69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8" w:hRule="atLeast"/>
          <w:jc w:val="center"/>
        </w:trPr>
        <w:tc>
          <w:tcPr>
            <w:tcW w:w="4365" w:type="dxa"/>
            <w:vAlign w:val="center"/>
          </w:tcPr>
          <w:p>
            <w:pPr>
              <w:jc w:val="left"/>
              <w:rPr>
                <w:rFonts w:ascii="宋体"/>
              </w:rPr>
            </w:pPr>
            <w:r>
              <w:rPr>
                <w:rFonts w:ascii="宋体" w:hAnsi="宋体"/>
              </w:rPr>
              <w:t>1</w:t>
            </w:r>
            <w:r>
              <w:rPr>
                <w:rFonts w:hint="eastAsia" w:ascii="宋体" w:hAnsi="宋体"/>
              </w:rPr>
              <w:t>、房屋</w:t>
            </w:r>
            <w:r>
              <w:rPr>
                <w:rFonts w:ascii="宋体" w:hAnsi="宋体"/>
              </w:rPr>
              <w:t>(</w:t>
            </w:r>
            <w:r>
              <w:rPr>
                <w:rFonts w:hint="eastAsia" w:ascii="宋体" w:hAnsi="宋体"/>
              </w:rPr>
              <w:t>平方米</w:t>
            </w:r>
            <w:r>
              <w:rPr>
                <w:rFonts w:ascii="宋体" w:hAnsi="宋体"/>
              </w:rPr>
              <w:t>)</w:t>
            </w:r>
          </w:p>
        </w:tc>
        <w:tc>
          <w:tcPr>
            <w:tcW w:w="4772" w:type="dxa"/>
            <w:vAlign w:val="center"/>
          </w:tcPr>
          <w:p>
            <w:pPr>
              <w:jc w:val="center"/>
              <w:rPr>
                <w:rFonts w:ascii="黑体" w:hAnsi="黑体" w:eastAsia="黑体"/>
              </w:rPr>
            </w:pPr>
          </w:p>
        </w:tc>
        <w:tc>
          <w:tcPr>
            <w:tcW w:w="4772" w:type="dxa"/>
            <w:vAlign w:val="center"/>
          </w:tcPr>
          <w:p>
            <w:pPr>
              <w:jc w:val="center"/>
              <w:rPr>
                <w:rFonts w:ascii="黑体" w:hAnsi="黑体" w:eastAsia="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8" w:hRule="atLeast"/>
          <w:jc w:val="center"/>
        </w:trPr>
        <w:tc>
          <w:tcPr>
            <w:tcW w:w="4365" w:type="dxa"/>
            <w:vAlign w:val="center"/>
          </w:tcPr>
          <w:p>
            <w:pPr>
              <w:jc w:val="left"/>
              <w:rPr>
                <w:rFonts w:ascii="宋体"/>
              </w:rPr>
            </w:pPr>
            <w:r>
              <w:rPr>
                <w:rFonts w:ascii="宋体" w:hAnsi="宋体"/>
              </w:rPr>
              <w:t xml:space="preserve">   </w:t>
            </w:r>
            <w:r>
              <w:rPr>
                <w:rFonts w:hint="eastAsia" w:ascii="宋体" w:hAnsi="宋体"/>
              </w:rPr>
              <w:t>其中：办公用房</w:t>
            </w:r>
            <w:r>
              <w:rPr>
                <w:rFonts w:ascii="宋体" w:hAnsi="宋体"/>
              </w:rPr>
              <w:t>(</w:t>
            </w:r>
            <w:r>
              <w:rPr>
                <w:rFonts w:hint="eastAsia" w:ascii="宋体" w:hAnsi="宋体"/>
              </w:rPr>
              <w:t>平方米</w:t>
            </w:r>
            <w:r>
              <w:rPr>
                <w:rFonts w:ascii="宋体" w:hAnsi="宋体"/>
              </w:rPr>
              <w:t>)</w:t>
            </w:r>
          </w:p>
        </w:tc>
        <w:tc>
          <w:tcPr>
            <w:tcW w:w="4772" w:type="dxa"/>
            <w:vAlign w:val="center"/>
          </w:tcPr>
          <w:p>
            <w:pPr>
              <w:jc w:val="center"/>
              <w:rPr>
                <w:rFonts w:ascii="黑体" w:hAnsi="黑体" w:eastAsia="黑体"/>
              </w:rPr>
            </w:pPr>
          </w:p>
        </w:tc>
        <w:tc>
          <w:tcPr>
            <w:tcW w:w="4772" w:type="dxa"/>
            <w:vAlign w:val="center"/>
          </w:tcPr>
          <w:p>
            <w:pPr>
              <w:jc w:val="center"/>
              <w:rPr>
                <w:rFonts w:ascii="黑体" w:hAnsi="黑体" w:eastAsia="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8" w:hRule="atLeast"/>
          <w:jc w:val="center"/>
        </w:trPr>
        <w:tc>
          <w:tcPr>
            <w:tcW w:w="4365" w:type="dxa"/>
            <w:vAlign w:val="center"/>
          </w:tcPr>
          <w:p>
            <w:pPr>
              <w:jc w:val="left"/>
              <w:rPr>
                <w:rFonts w:ascii="宋体"/>
              </w:rPr>
            </w:pPr>
            <w:r>
              <w:rPr>
                <w:rFonts w:ascii="宋体" w:hAnsi="宋体"/>
              </w:rPr>
              <w:t>2</w:t>
            </w:r>
            <w:r>
              <w:rPr>
                <w:rFonts w:hint="eastAsia" w:ascii="宋体" w:hAnsi="宋体"/>
              </w:rPr>
              <w:t>、车辆</w:t>
            </w:r>
            <w:r>
              <w:rPr>
                <w:rFonts w:ascii="宋体" w:hAnsi="宋体"/>
              </w:rPr>
              <w:t>(</w:t>
            </w:r>
            <w:r>
              <w:rPr>
                <w:rFonts w:hint="eastAsia" w:ascii="宋体" w:hAnsi="宋体"/>
              </w:rPr>
              <w:t>台、辆</w:t>
            </w:r>
            <w:r>
              <w:rPr>
                <w:rFonts w:ascii="宋体" w:hAnsi="宋体"/>
              </w:rPr>
              <w:t>)</w:t>
            </w:r>
          </w:p>
        </w:tc>
        <w:tc>
          <w:tcPr>
            <w:tcW w:w="4772" w:type="dxa"/>
            <w:vAlign w:val="center"/>
          </w:tcPr>
          <w:p>
            <w:pPr>
              <w:jc w:val="center"/>
              <w:rPr>
                <w:rFonts w:ascii="黑体" w:hAnsi="黑体" w:eastAsia="黑体"/>
              </w:rPr>
            </w:pPr>
            <w:r>
              <w:rPr>
                <w:rFonts w:ascii="黑体" w:hAnsi="黑体" w:eastAsia="黑体"/>
              </w:rPr>
              <w:t>36</w:t>
            </w:r>
          </w:p>
        </w:tc>
        <w:tc>
          <w:tcPr>
            <w:tcW w:w="4772" w:type="dxa"/>
            <w:vAlign w:val="center"/>
          </w:tcPr>
          <w:p>
            <w:pPr>
              <w:jc w:val="center"/>
              <w:rPr>
                <w:rFonts w:hint="eastAsia" w:ascii="黑体" w:hAnsi="黑体" w:eastAsia="黑体"/>
                <w:lang w:val="en-US" w:eastAsia="zh-CN"/>
              </w:rPr>
            </w:pPr>
            <w:r>
              <w:rPr>
                <w:rFonts w:hint="eastAsia" w:ascii="黑体" w:hAnsi="黑体" w:eastAsia="黑体"/>
                <w:lang w:val="en-US" w:eastAsia="zh-CN"/>
              </w:rPr>
              <w:t>691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38" w:hRule="atLeast"/>
          <w:jc w:val="center"/>
        </w:trPr>
        <w:tc>
          <w:tcPr>
            <w:tcW w:w="4365" w:type="dxa"/>
            <w:vAlign w:val="center"/>
          </w:tcPr>
          <w:p>
            <w:pPr>
              <w:jc w:val="left"/>
              <w:rPr>
                <w:rFonts w:ascii="宋体"/>
              </w:rPr>
            </w:pPr>
            <w:r>
              <w:rPr>
                <w:rFonts w:ascii="宋体" w:hAnsi="宋体"/>
              </w:rPr>
              <w:t>3</w:t>
            </w:r>
            <w:r>
              <w:rPr>
                <w:rFonts w:hint="eastAsia" w:ascii="宋体" w:hAnsi="宋体"/>
              </w:rPr>
              <w:t>、单价在</w:t>
            </w:r>
            <w:r>
              <w:rPr>
                <w:rFonts w:ascii="宋体" w:hAnsi="宋体"/>
              </w:rPr>
              <w:t>20</w:t>
            </w:r>
            <w:r>
              <w:rPr>
                <w:rFonts w:hint="eastAsia" w:ascii="宋体" w:hAnsi="宋体"/>
              </w:rPr>
              <w:t>万元以上的设备</w:t>
            </w:r>
          </w:p>
        </w:tc>
        <w:tc>
          <w:tcPr>
            <w:tcW w:w="4772" w:type="dxa"/>
            <w:vAlign w:val="center"/>
          </w:tcPr>
          <w:p>
            <w:pPr>
              <w:jc w:val="center"/>
              <w:rPr>
                <w:rFonts w:ascii="黑体" w:hAnsi="黑体" w:eastAsia="黑体"/>
              </w:rPr>
            </w:pPr>
          </w:p>
        </w:tc>
        <w:tc>
          <w:tcPr>
            <w:tcW w:w="4772" w:type="dxa"/>
            <w:vAlign w:val="center"/>
          </w:tcPr>
          <w:p>
            <w:pPr>
              <w:jc w:val="center"/>
              <w:rPr>
                <w:rFonts w:ascii="黑体" w:hAnsi="黑体" w:eastAsia="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8" w:hRule="atLeast"/>
          <w:jc w:val="center"/>
        </w:trPr>
        <w:tc>
          <w:tcPr>
            <w:tcW w:w="4365" w:type="dxa"/>
          </w:tcPr>
          <w:p>
            <w:pPr>
              <w:jc w:val="left"/>
              <w:rPr>
                <w:rFonts w:ascii="宋体"/>
              </w:rPr>
            </w:pPr>
            <w:r>
              <w:rPr>
                <w:rFonts w:ascii="宋体" w:hAnsi="宋体"/>
              </w:rPr>
              <w:t>4</w:t>
            </w:r>
            <w:r>
              <w:rPr>
                <w:rFonts w:hint="eastAsia" w:ascii="宋体" w:hAnsi="宋体"/>
              </w:rPr>
              <w:t>、其他固定资产</w:t>
            </w:r>
          </w:p>
        </w:tc>
        <w:tc>
          <w:tcPr>
            <w:tcW w:w="4772" w:type="dxa"/>
          </w:tcPr>
          <w:p>
            <w:pPr>
              <w:jc w:val="center"/>
              <w:rPr>
                <w:rFonts w:ascii="黑体" w:hAnsi="黑体" w:eastAsia="黑体"/>
              </w:rPr>
            </w:pPr>
          </w:p>
        </w:tc>
        <w:tc>
          <w:tcPr>
            <w:tcW w:w="4772" w:type="dxa"/>
          </w:tcPr>
          <w:p>
            <w:pPr>
              <w:jc w:val="center"/>
              <w:rPr>
                <w:rFonts w:hint="eastAsia" w:ascii="黑体" w:hAnsi="黑体" w:eastAsia="黑体"/>
                <w:lang w:val="en-US" w:eastAsia="zh-CN"/>
              </w:rPr>
            </w:pPr>
            <w:r>
              <w:rPr>
                <w:rFonts w:hint="eastAsia" w:ascii="黑体" w:hAnsi="黑体" w:eastAsia="黑体"/>
                <w:lang w:val="en-US" w:eastAsia="zh-CN"/>
              </w:rPr>
              <w:t>1071.69</w:t>
            </w:r>
          </w:p>
        </w:tc>
      </w:tr>
    </w:tbl>
    <w:p>
      <w:pPr>
        <w:autoSpaceDE w:val="0"/>
        <w:autoSpaceDN w:val="0"/>
        <w:adjustRightInd w:val="0"/>
        <w:ind w:left="420" w:leftChars="200"/>
        <w:jc w:val="left"/>
        <w:rPr>
          <w:rFonts w:ascii="黑体" w:hAnsi="黑体" w:eastAsia="黑体" w:cs="黑体"/>
          <w:sz w:val="32"/>
          <w:szCs w:val="32"/>
        </w:rPr>
      </w:pPr>
    </w:p>
    <w:p>
      <w:pPr>
        <w:autoSpaceDE w:val="0"/>
        <w:autoSpaceDN w:val="0"/>
        <w:adjustRightInd w:val="0"/>
        <w:ind w:left="420" w:leftChars="200"/>
        <w:jc w:val="left"/>
        <w:rPr>
          <w:rFonts w:ascii="黑体" w:hAnsi="黑体" w:eastAsia="黑体" w:cs="黑体"/>
          <w:sz w:val="32"/>
          <w:szCs w:val="32"/>
        </w:rPr>
      </w:pPr>
    </w:p>
    <w:p>
      <w:pPr>
        <w:jc w:val="center"/>
        <w:outlineLvl w:val="0"/>
        <w:rPr>
          <w:rFonts w:ascii="方正小标宋_GBK" w:eastAsia="方正小标宋_GBK"/>
          <w:sz w:val="32"/>
        </w:rPr>
      </w:pPr>
    </w:p>
    <w:p>
      <w:pPr>
        <w:autoSpaceDE w:val="0"/>
        <w:autoSpaceDN w:val="0"/>
        <w:adjustRightInd w:val="0"/>
        <w:ind w:left="198" w:firstLine="640" w:firstLineChars="200"/>
        <w:jc w:val="left"/>
        <w:rPr>
          <w:rFonts w:ascii="黑体" w:hAnsi="黑体" w:eastAsia="黑体" w:cs="黑体"/>
          <w:sz w:val="32"/>
          <w:szCs w:val="32"/>
        </w:rPr>
      </w:pP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八、名词解释</w:t>
      </w:r>
    </w:p>
    <w:p>
      <w:pPr>
        <w:widowControl/>
        <w:spacing w:line="58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（一）财政拨款收入：</w:t>
      </w:r>
      <w:r>
        <w:rPr>
          <w:rFonts w:hint="eastAsia" w:ascii="仿宋" w:hAnsi="仿宋" w:eastAsia="仿宋" w:cs="仿宋"/>
          <w:sz w:val="32"/>
          <w:szCs w:val="32"/>
        </w:rPr>
        <w:t>指本年度从省级财政部门取得的财政拨款。</w:t>
      </w:r>
    </w:p>
    <w:p>
      <w:pPr>
        <w:widowControl/>
        <w:spacing w:line="580" w:lineRule="exact"/>
        <w:ind w:firstLine="640" w:firstLineChars="200"/>
        <w:rPr>
          <w:rFonts w:ascii="仿宋" w:hAnsi="仿宋" w:eastAsia="仿宋" w:cs="Times New Roman"/>
          <w:sz w:val="32"/>
          <w:szCs w:val="32"/>
        </w:rPr>
      </w:pPr>
      <w:r>
        <w:rPr>
          <w:rFonts w:hint="eastAsia" w:ascii="仿宋" w:hAnsi="仿宋" w:eastAsia="仿宋" w:cs="仿宋"/>
          <w:color w:val="000000"/>
          <w:kern w:val="0"/>
          <w:sz w:val="32"/>
          <w:szCs w:val="32"/>
        </w:rPr>
        <w:t>（二）事业收入：</w:t>
      </w:r>
      <w:r>
        <w:rPr>
          <w:rFonts w:hint="eastAsia" w:ascii="仿宋" w:hAnsi="仿宋" w:eastAsia="仿宋" w:cs="仿宋"/>
          <w:sz w:val="32"/>
          <w:szCs w:val="32"/>
        </w:rPr>
        <w:t>指事业单位开展专业业务活动及辅助活动所取得的收入。</w:t>
      </w:r>
    </w:p>
    <w:p>
      <w:pPr>
        <w:widowControl/>
        <w:spacing w:line="58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（三）其他收入：</w:t>
      </w:r>
      <w:r>
        <w:rPr>
          <w:rFonts w:hint="eastAsia" w:ascii="仿宋" w:hAnsi="仿宋" w:eastAsia="仿宋" w:cs="仿宋"/>
          <w:sz w:val="32"/>
          <w:szCs w:val="32"/>
        </w:rPr>
        <w:t>指除“财政拨款收入”、“上级补助收入”、“事业收入”、“经营收入”、“附属单位上缴收入”以外的各项收入。</w:t>
      </w:r>
    </w:p>
    <w:p>
      <w:pPr>
        <w:widowControl/>
        <w:spacing w:line="58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（四）用事业基金弥补收支差额：指事业单位在用当年的“财政拨款收入”、“财政拨款结转和结余资金”、“事业收入”、</w:t>
      </w: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（五）年初结转和结余：指以前年度尚未完成、结转到本年仍按原规定用途继续使用的资金。</w:t>
      </w:r>
    </w:p>
    <w:p>
      <w:pPr>
        <w:widowControl/>
        <w:spacing w:line="58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（六）结余分配：指事业单位按照事业单位会计制度的规定从非财政补助结余中分配的事业基金和职工福利基金等。</w:t>
      </w:r>
    </w:p>
    <w:p>
      <w:pPr>
        <w:widowControl/>
        <w:spacing w:line="58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（七）年末结转和结余：</w:t>
      </w:r>
      <w:r>
        <w:rPr>
          <w:rFonts w:hint="eastAsia" w:ascii="仿宋" w:hAnsi="仿宋" w:eastAsia="仿宋" w:cs="仿宋"/>
          <w:sz w:val="32"/>
          <w:szCs w:val="32"/>
        </w:rPr>
        <w:t>指本年度或以前年度预算安排、因客观条件发生变化无法按原计划实施，需要延迟到以后年度按有关规定继续使用的资金。</w:t>
      </w:r>
    </w:p>
    <w:p>
      <w:pPr>
        <w:widowControl/>
        <w:spacing w:line="58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（八）基本支出：</w:t>
      </w:r>
      <w:r>
        <w:rPr>
          <w:rFonts w:hint="eastAsia" w:ascii="仿宋" w:hAnsi="仿宋" w:eastAsia="仿宋" w:cs="仿宋"/>
          <w:sz w:val="32"/>
          <w:szCs w:val="32"/>
        </w:rPr>
        <w:t>指为保障机构正常运转、完成日常工作任务而发生的人员支出和公用支出。</w:t>
      </w:r>
    </w:p>
    <w:p>
      <w:pPr>
        <w:widowControl/>
        <w:spacing w:line="58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（九）项目支出：</w:t>
      </w:r>
      <w:r>
        <w:rPr>
          <w:rFonts w:hint="eastAsia" w:ascii="仿宋" w:hAnsi="仿宋" w:eastAsia="仿宋" w:cs="仿宋"/>
          <w:sz w:val="32"/>
          <w:szCs w:val="32"/>
        </w:rPr>
        <w:t>指在基本支出之外为完成特定行政任务和事业发展目标所发生的支出。</w:t>
      </w:r>
    </w:p>
    <w:p>
      <w:pPr>
        <w:widowControl/>
        <w:spacing w:line="58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十）“三公”经费：财政预决算管理的“三公”经费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（十一）其他交通费用：指单位除公务用车运行维护费以外的其他交通费用。主要是委厅机关发放的公务交通补贴等。</w:t>
      </w:r>
    </w:p>
    <w:p>
      <w:pPr>
        <w:widowControl/>
        <w:spacing w:line="58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十二）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line="58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（十三）行政事业单位离退休：反映用于行政事业单位离退休方面的支出。</w:t>
      </w:r>
    </w:p>
    <w:p>
      <w:pPr>
        <w:widowControl/>
        <w:spacing w:line="58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（十四）住房改革支出：反映行政事业单位用财政拨款资金和其他资金等安排的住房改革支出。</w:t>
      </w:r>
    </w:p>
    <w:p>
      <w:pPr>
        <w:spacing w:line="580" w:lineRule="exact"/>
        <w:rPr>
          <w:rFonts w:ascii="仿宋" w:hAnsi="仿宋" w:eastAsia="仿宋" w:cs="Times New Roman"/>
        </w:rPr>
      </w:pPr>
    </w:p>
    <w:p>
      <w:pPr>
        <w:numPr>
          <w:ilvl w:val="0"/>
          <w:numId w:val="1"/>
        </w:num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其他……</w:t>
      </w:r>
    </w:p>
    <w:p>
      <w:pP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无……</w:t>
      </w:r>
    </w:p>
    <w:sectPr>
      <w:pgSz w:w="16838" w:h="11906" w:orient="landscape"/>
      <w:pgMar w:top="1797" w:right="1701" w:bottom="179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仿宋_GB2312"/>
    <w:panose1 w:val="00000000000000000000"/>
    <w:charset w:val="86"/>
    <w:family w:val="auto"/>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仿宋_GBK">
    <w:altName w:val="宋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36A6D"/>
    <w:multiLevelType w:val="singleLevel"/>
    <w:tmpl w:val="5A336A6D"/>
    <w:lvl w:ilvl="0" w:tentative="0">
      <w:start w:val="9"/>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6C7C"/>
    <w:rsid w:val="00037AF6"/>
    <w:rsid w:val="00075D5F"/>
    <w:rsid w:val="000B3E8D"/>
    <w:rsid w:val="000C3A19"/>
    <w:rsid w:val="000C5832"/>
    <w:rsid w:val="000C6AF0"/>
    <w:rsid w:val="00107FB8"/>
    <w:rsid w:val="001229BD"/>
    <w:rsid w:val="001245BB"/>
    <w:rsid w:val="0012659D"/>
    <w:rsid w:val="00130BFC"/>
    <w:rsid w:val="001B41AF"/>
    <w:rsid w:val="001B597D"/>
    <w:rsid w:val="001D0550"/>
    <w:rsid w:val="001E17E4"/>
    <w:rsid w:val="00212898"/>
    <w:rsid w:val="0023313A"/>
    <w:rsid w:val="00241FD4"/>
    <w:rsid w:val="00251B12"/>
    <w:rsid w:val="00296113"/>
    <w:rsid w:val="002A2264"/>
    <w:rsid w:val="002D0EEF"/>
    <w:rsid w:val="002E5A81"/>
    <w:rsid w:val="002F3E58"/>
    <w:rsid w:val="002F4974"/>
    <w:rsid w:val="0030542C"/>
    <w:rsid w:val="00311B7A"/>
    <w:rsid w:val="00314C7B"/>
    <w:rsid w:val="00322364"/>
    <w:rsid w:val="00334910"/>
    <w:rsid w:val="00355986"/>
    <w:rsid w:val="00401A5A"/>
    <w:rsid w:val="00403E69"/>
    <w:rsid w:val="00451871"/>
    <w:rsid w:val="00472923"/>
    <w:rsid w:val="004A4AA9"/>
    <w:rsid w:val="004E3066"/>
    <w:rsid w:val="004E74CD"/>
    <w:rsid w:val="004F2FB5"/>
    <w:rsid w:val="004F57C9"/>
    <w:rsid w:val="00573562"/>
    <w:rsid w:val="00604421"/>
    <w:rsid w:val="00614A29"/>
    <w:rsid w:val="00680590"/>
    <w:rsid w:val="006E3FDA"/>
    <w:rsid w:val="007176C3"/>
    <w:rsid w:val="0075393C"/>
    <w:rsid w:val="00776C08"/>
    <w:rsid w:val="00793932"/>
    <w:rsid w:val="007D0729"/>
    <w:rsid w:val="007D40E1"/>
    <w:rsid w:val="007E1DA8"/>
    <w:rsid w:val="007F2216"/>
    <w:rsid w:val="007F6C26"/>
    <w:rsid w:val="008334AE"/>
    <w:rsid w:val="00836FED"/>
    <w:rsid w:val="00845CD2"/>
    <w:rsid w:val="00852B0D"/>
    <w:rsid w:val="00881692"/>
    <w:rsid w:val="00887B5F"/>
    <w:rsid w:val="008B3CC5"/>
    <w:rsid w:val="008E4261"/>
    <w:rsid w:val="008F3E86"/>
    <w:rsid w:val="008F4662"/>
    <w:rsid w:val="00905D08"/>
    <w:rsid w:val="00925753"/>
    <w:rsid w:val="00966C5C"/>
    <w:rsid w:val="00973104"/>
    <w:rsid w:val="009F2559"/>
    <w:rsid w:val="00A41AC6"/>
    <w:rsid w:val="00A62A81"/>
    <w:rsid w:val="00A72D2E"/>
    <w:rsid w:val="00A911E7"/>
    <w:rsid w:val="00A939D9"/>
    <w:rsid w:val="00A941D2"/>
    <w:rsid w:val="00AA3D52"/>
    <w:rsid w:val="00B157BA"/>
    <w:rsid w:val="00B20712"/>
    <w:rsid w:val="00B43238"/>
    <w:rsid w:val="00B64C31"/>
    <w:rsid w:val="00B75216"/>
    <w:rsid w:val="00B91D52"/>
    <w:rsid w:val="00BA1ACD"/>
    <w:rsid w:val="00C362E6"/>
    <w:rsid w:val="00C45858"/>
    <w:rsid w:val="00C73AB3"/>
    <w:rsid w:val="00CA7176"/>
    <w:rsid w:val="00CC163D"/>
    <w:rsid w:val="00CD2773"/>
    <w:rsid w:val="00CD3419"/>
    <w:rsid w:val="00CE143B"/>
    <w:rsid w:val="00CF013F"/>
    <w:rsid w:val="00D74B13"/>
    <w:rsid w:val="00DB6D29"/>
    <w:rsid w:val="00DF110C"/>
    <w:rsid w:val="00E167C7"/>
    <w:rsid w:val="00E55E94"/>
    <w:rsid w:val="00EC47F6"/>
    <w:rsid w:val="00EE2920"/>
    <w:rsid w:val="00F233B7"/>
    <w:rsid w:val="00F477C2"/>
    <w:rsid w:val="00F66032"/>
    <w:rsid w:val="00F958C2"/>
    <w:rsid w:val="080611C8"/>
    <w:rsid w:val="088754BA"/>
    <w:rsid w:val="10067B63"/>
    <w:rsid w:val="19A05FAF"/>
    <w:rsid w:val="19E774A0"/>
    <w:rsid w:val="1E806915"/>
    <w:rsid w:val="1F9E3C99"/>
    <w:rsid w:val="1FB245FA"/>
    <w:rsid w:val="22D904DC"/>
    <w:rsid w:val="29537931"/>
    <w:rsid w:val="29BF3045"/>
    <w:rsid w:val="2A4D0ED8"/>
    <w:rsid w:val="2F940363"/>
    <w:rsid w:val="30603E29"/>
    <w:rsid w:val="338E107F"/>
    <w:rsid w:val="34524676"/>
    <w:rsid w:val="3700547D"/>
    <w:rsid w:val="3A0B3109"/>
    <w:rsid w:val="43B32CD8"/>
    <w:rsid w:val="47292629"/>
    <w:rsid w:val="4AEE3D2E"/>
    <w:rsid w:val="4F6A4610"/>
    <w:rsid w:val="58016AAA"/>
    <w:rsid w:val="5D414198"/>
    <w:rsid w:val="5DC76B73"/>
    <w:rsid w:val="6C2A1C5A"/>
    <w:rsid w:val="6C327D15"/>
    <w:rsid w:val="6C800E27"/>
    <w:rsid w:val="6DED7E5E"/>
    <w:rsid w:val="717E5554"/>
    <w:rsid w:val="77851BA9"/>
    <w:rsid w:val="79637537"/>
    <w:rsid w:val="7AEF5422"/>
    <w:rsid w:val="7B323D6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semiHidden/>
    <w:qFormat/>
    <w:uiPriority w:val="99"/>
    <w:rPr>
      <w:rFonts w:ascii="Times New Roman" w:hAnsi="Times New Roman" w:cs="Times New Roman"/>
    </w:rPr>
  </w:style>
  <w:style w:type="paragraph" w:styleId="5">
    <w:name w:val="toc 2"/>
    <w:basedOn w:val="1"/>
    <w:next w:val="1"/>
    <w:semiHidden/>
    <w:qFormat/>
    <w:uiPriority w:val="99"/>
    <w:pPr>
      <w:ind w:left="420" w:leftChars="200"/>
    </w:pPr>
    <w:rPr>
      <w:rFonts w:ascii="Times New Roman" w:hAnsi="Times New Roman" w:cs="Times New Roman"/>
    </w:rPr>
  </w:style>
  <w:style w:type="paragraph" w:styleId="6">
    <w:name w:val="Normal (Web)"/>
    <w:basedOn w:val="1"/>
    <w:qFormat/>
    <w:uiPriority w:val="99"/>
    <w:pPr>
      <w:jc w:val="left"/>
    </w:pPr>
    <w:rPr>
      <w:kern w:val="0"/>
      <w:sz w:val="24"/>
      <w:szCs w:val="24"/>
    </w:rPr>
  </w:style>
  <w:style w:type="table" w:styleId="8">
    <w:name w:val="Table Grid"/>
    <w:basedOn w:val="7"/>
    <w:qFormat/>
    <w:locked/>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locked/>
    <w:uiPriority w:val="99"/>
    <w:rPr>
      <w:rFonts w:cs="Times New Roman"/>
      <w:b/>
      <w:bCs/>
    </w:rPr>
  </w:style>
  <w:style w:type="character" w:customStyle="1" w:styleId="11">
    <w:name w:val="Footer Char"/>
    <w:basedOn w:val="9"/>
    <w:link w:val="2"/>
    <w:qFormat/>
    <w:locked/>
    <w:uiPriority w:val="99"/>
    <w:rPr>
      <w:rFonts w:ascii="Times New Roman" w:hAnsi="Times New Roman" w:eastAsia="宋体" w:cs="Times New Roman"/>
      <w:sz w:val="18"/>
      <w:szCs w:val="18"/>
    </w:rPr>
  </w:style>
  <w:style w:type="character" w:customStyle="1" w:styleId="12">
    <w:name w:val="Header Char"/>
    <w:basedOn w:val="9"/>
    <w:link w:val="3"/>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16</Pages>
  <Words>989</Words>
  <Characters>5640</Characters>
  <Lines>0</Lines>
  <Paragraphs>0</Paragraphs>
  <TotalTime>91</TotalTime>
  <ScaleCrop>false</ScaleCrop>
  <LinksUpToDate>false</LinksUpToDate>
  <CharactersWithSpaces>0</CharactersWithSpaces>
  <Application>WPS Office_11.1.0.8408_F1E327BC-269C-435d-A152-05C5408002CA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2017-10-19T02:46:00Z</dcterms:created>
  <dc:creator>guest</dc:creator>
  <cp:lastModifiedBy>Administrator</cp:lastModifiedBy>
  <dcterms:modified xsi:type="dcterms:W3CDTF">2019-02-18T07:03:47Z</dcterms:modified>
  <dc:title>河北省2017年部门预算信息公开</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2052-11.1.0.8408</vt:lpwstr>
  </property>
</Properties>
</file>